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573" w:rsidRPr="006D52AB" w:rsidRDefault="006D52AB" w:rsidP="007D457F">
      <w:pPr>
        <w:spacing w:after="0"/>
        <w:ind w:left="0"/>
        <w:jc w:val="center"/>
        <w:rPr>
          <w:rFonts w:ascii="Arial" w:hAnsi="Arial" w:cs="Arial"/>
          <w:b/>
          <w:sz w:val="32"/>
          <w:szCs w:val="32"/>
        </w:rPr>
      </w:pPr>
      <w:r>
        <w:rPr>
          <w:rFonts w:ascii="Arial" w:hAnsi="Arial" w:cs="Arial"/>
          <w:b/>
          <w:sz w:val="32"/>
          <w:szCs w:val="32"/>
        </w:rPr>
        <w:t xml:space="preserve">Template </w:t>
      </w:r>
      <w:r w:rsidR="00337573" w:rsidRPr="006D52AB">
        <w:rPr>
          <w:rFonts w:ascii="Arial" w:hAnsi="Arial" w:cs="Arial"/>
          <w:b/>
          <w:sz w:val="32"/>
          <w:szCs w:val="32"/>
        </w:rPr>
        <w:t xml:space="preserve">Air Quality Assessment Procedure </w:t>
      </w:r>
      <w:r w:rsidRPr="006D52AB">
        <w:rPr>
          <w:rFonts w:ascii="Arial" w:hAnsi="Arial" w:cs="Arial"/>
          <w:b/>
          <w:sz w:val="32"/>
          <w:szCs w:val="32"/>
        </w:rPr>
        <w:t>for</w:t>
      </w:r>
      <w:r w:rsidR="00337573" w:rsidRPr="006D52AB">
        <w:rPr>
          <w:rFonts w:ascii="Arial" w:hAnsi="Arial" w:cs="Arial"/>
          <w:b/>
          <w:sz w:val="32"/>
          <w:szCs w:val="32"/>
        </w:rPr>
        <w:t xml:space="preserve"> </w:t>
      </w:r>
      <w:r w:rsidR="00981B7A" w:rsidRPr="006D52AB">
        <w:rPr>
          <w:rFonts w:ascii="Arial" w:hAnsi="Arial" w:cs="Arial"/>
          <w:b/>
          <w:sz w:val="32"/>
          <w:szCs w:val="32"/>
        </w:rPr>
        <w:t>Ga</w:t>
      </w:r>
      <w:r w:rsidR="00DB4E54" w:rsidRPr="006D52AB">
        <w:rPr>
          <w:rFonts w:ascii="Arial" w:hAnsi="Arial" w:cs="Arial"/>
          <w:b/>
          <w:sz w:val="32"/>
          <w:szCs w:val="32"/>
        </w:rPr>
        <w:t xml:space="preserve">s-Fired </w:t>
      </w:r>
      <w:r w:rsidR="00337573" w:rsidRPr="006D52AB">
        <w:rPr>
          <w:rFonts w:ascii="Arial" w:hAnsi="Arial" w:cs="Arial"/>
          <w:b/>
          <w:sz w:val="32"/>
          <w:szCs w:val="32"/>
        </w:rPr>
        <w:t xml:space="preserve">Combined Heat and Power </w:t>
      </w:r>
      <w:r w:rsidR="00D8254F" w:rsidRPr="006D52AB">
        <w:rPr>
          <w:rFonts w:ascii="Arial" w:hAnsi="Arial" w:cs="Arial"/>
          <w:b/>
          <w:sz w:val="32"/>
          <w:szCs w:val="32"/>
        </w:rPr>
        <w:t xml:space="preserve">(CHP) </w:t>
      </w:r>
      <w:r w:rsidR="00337573" w:rsidRPr="006D52AB">
        <w:rPr>
          <w:rFonts w:ascii="Arial" w:hAnsi="Arial" w:cs="Arial"/>
          <w:b/>
          <w:sz w:val="32"/>
          <w:szCs w:val="32"/>
        </w:rPr>
        <w:t>Plant</w:t>
      </w:r>
    </w:p>
    <w:p w:rsidR="006D52AB" w:rsidRPr="002E4CD4" w:rsidRDefault="006D52AB" w:rsidP="007D457F">
      <w:pPr>
        <w:spacing w:after="0"/>
        <w:ind w:left="0"/>
        <w:jc w:val="left"/>
        <w:rPr>
          <w:rFonts w:ascii="Arial" w:hAnsi="Arial" w:cs="Arial"/>
          <w:b/>
          <w:szCs w:val="24"/>
        </w:rPr>
      </w:pPr>
    </w:p>
    <w:p w:rsidR="007D457F" w:rsidRPr="00131411" w:rsidRDefault="007D457F" w:rsidP="007D457F">
      <w:pPr>
        <w:spacing w:after="0"/>
        <w:ind w:left="0"/>
        <w:rPr>
          <w:rFonts w:ascii="Arial" w:hAnsi="Arial" w:cs="Arial"/>
          <w:b/>
          <w:sz w:val="28"/>
          <w:szCs w:val="28"/>
        </w:rPr>
      </w:pPr>
      <w:r w:rsidRPr="00131411">
        <w:rPr>
          <w:rFonts w:ascii="Arial" w:hAnsi="Arial" w:cs="Arial"/>
          <w:b/>
          <w:sz w:val="28"/>
          <w:szCs w:val="28"/>
        </w:rPr>
        <w:t xml:space="preserve">Purpose </w:t>
      </w:r>
    </w:p>
    <w:p w:rsidR="007D457F" w:rsidRDefault="007D457F" w:rsidP="007D457F">
      <w:pPr>
        <w:spacing w:after="0"/>
        <w:ind w:left="0"/>
        <w:rPr>
          <w:rFonts w:ascii="Arial" w:hAnsi="Arial" w:cs="Arial"/>
          <w:sz w:val="22"/>
          <w:szCs w:val="22"/>
        </w:rPr>
      </w:pPr>
      <w:r w:rsidRPr="00131411">
        <w:rPr>
          <w:rFonts w:ascii="Arial" w:hAnsi="Arial" w:cs="Arial"/>
          <w:sz w:val="22"/>
          <w:szCs w:val="22"/>
        </w:rPr>
        <w:t>The purpose of the air quality assessment is to determine the impact of a proposed CHP plant on local ambient concentrations of nitrogen dioxide at specific receptors.  The air quality assessment should be undertaken in accordance with the procedures described below. The methodology, results and conclusion of the air quality assessment should be presented in a detailed report.</w:t>
      </w:r>
    </w:p>
    <w:p w:rsidR="006D52AB" w:rsidRPr="002E4CD4" w:rsidRDefault="006D52AB" w:rsidP="007D457F">
      <w:pPr>
        <w:spacing w:after="0"/>
        <w:ind w:left="0"/>
        <w:rPr>
          <w:rFonts w:ascii="Arial" w:hAnsi="Arial" w:cs="Arial"/>
          <w:sz w:val="22"/>
          <w:szCs w:val="22"/>
        </w:rPr>
      </w:pPr>
    </w:p>
    <w:p w:rsidR="00337573" w:rsidRPr="002E4CD4" w:rsidRDefault="00337573" w:rsidP="007D457F">
      <w:pPr>
        <w:spacing w:after="0"/>
        <w:ind w:left="0"/>
        <w:rPr>
          <w:rFonts w:ascii="Arial" w:hAnsi="Arial" w:cs="Arial"/>
          <w:sz w:val="22"/>
          <w:szCs w:val="22"/>
        </w:rPr>
      </w:pPr>
      <w:r w:rsidRPr="002E4CD4">
        <w:rPr>
          <w:rFonts w:ascii="Arial" w:hAnsi="Arial" w:cs="Arial"/>
          <w:sz w:val="22"/>
          <w:szCs w:val="22"/>
        </w:rPr>
        <w:t xml:space="preserve">. </w:t>
      </w:r>
    </w:p>
    <w:p w:rsidR="00337573" w:rsidRPr="006D52AB" w:rsidRDefault="00337573" w:rsidP="007D457F">
      <w:pPr>
        <w:spacing w:after="0"/>
        <w:ind w:left="0"/>
        <w:rPr>
          <w:rFonts w:ascii="Arial" w:hAnsi="Arial" w:cs="Arial"/>
          <w:b/>
          <w:sz w:val="32"/>
          <w:szCs w:val="32"/>
        </w:rPr>
      </w:pPr>
      <w:r w:rsidRPr="006D52AB">
        <w:rPr>
          <w:rFonts w:ascii="Arial" w:hAnsi="Arial" w:cs="Arial"/>
          <w:b/>
          <w:sz w:val="32"/>
          <w:szCs w:val="32"/>
        </w:rPr>
        <w:t xml:space="preserve">Dispersion Modelling </w:t>
      </w:r>
    </w:p>
    <w:p w:rsidR="00337573" w:rsidRDefault="00917351" w:rsidP="007D457F">
      <w:pPr>
        <w:spacing w:after="0"/>
        <w:ind w:left="0"/>
        <w:rPr>
          <w:rFonts w:ascii="Arial" w:hAnsi="Arial" w:cs="Arial"/>
          <w:sz w:val="22"/>
          <w:szCs w:val="22"/>
        </w:rPr>
      </w:pPr>
      <w:r>
        <w:rPr>
          <w:rFonts w:ascii="Arial" w:hAnsi="Arial" w:cs="Arial"/>
          <w:sz w:val="22"/>
          <w:szCs w:val="22"/>
        </w:rPr>
        <w:t>The dispersion of the plume</w:t>
      </w:r>
      <w:r w:rsidR="00337573" w:rsidRPr="002E4CD4">
        <w:rPr>
          <w:rFonts w:ascii="Arial" w:hAnsi="Arial" w:cs="Arial"/>
          <w:sz w:val="22"/>
          <w:szCs w:val="22"/>
        </w:rPr>
        <w:t xml:space="preserve"> from the CHP stack shall be modelled using the </w:t>
      </w:r>
      <w:hyperlink r:id="rId7" w:history="1">
        <w:r w:rsidR="00337573" w:rsidRPr="006D52AB">
          <w:rPr>
            <w:rStyle w:val="Hyperlink"/>
            <w:rFonts w:ascii="Arial" w:hAnsi="Arial" w:cs="Arial"/>
            <w:sz w:val="22"/>
            <w:szCs w:val="22"/>
          </w:rPr>
          <w:t xml:space="preserve">ADMS </w:t>
        </w:r>
        <w:r w:rsidR="0052213B" w:rsidRPr="006D52AB">
          <w:rPr>
            <w:rStyle w:val="Hyperlink"/>
            <w:rFonts w:ascii="Arial" w:hAnsi="Arial" w:cs="Arial"/>
            <w:sz w:val="22"/>
            <w:szCs w:val="22"/>
          </w:rPr>
          <w:t>4</w:t>
        </w:r>
      </w:hyperlink>
      <w:r w:rsidR="006D52AB">
        <w:rPr>
          <w:rFonts w:ascii="Arial" w:hAnsi="Arial" w:cs="Arial"/>
          <w:sz w:val="22"/>
          <w:szCs w:val="22"/>
        </w:rPr>
        <w:t xml:space="preserve">, </w:t>
      </w:r>
      <w:hyperlink r:id="rId8" w:anchor="aermod" w:history="1">
        <w:r w:rsidR="006D52AB" w:rsidRPr="00FE67A1">
          <w:rPr>
            <w:rStyle w:val="Hyperlink"/>
            <w:rFonts w:ascii="Arial" w:hAnsi="Arial" w:cs="Arial"/>
            <w:sz w:val="22"/>
            <w:szCs w:val="22"/>
          </w:rPr>
          <w:t>AERMOD</w:t>
        </w:r>
      </w:hyperlink>
      <w:r w:rsidR="00846199">
        <w:rPr>
          <w:rFonts w:ascii="Arial" w:hAnsi="Arial" w:cs="Arial"/>
          <w:sz w:val="22"/>
          <w:szCs w:val="22"/>
        </w:rPr>
        <w:t xml:space="preserve">, </w:t>
      </w:r>
      <w:r>
        <w:rPr>
          <w:rFonts w:ascii="Arial" w:hAnsi="Arial" w:cs="Arial"/>
          <w:sz w:val="22"/>
          <w:szCs w:val="22"/>
        </w:rPr>
        <w:t xml:space="preserve">or </w:t>
      </w:r>
      <w:hyperlink r:id="rId9" w:history="1">
        <w:r w:rsidR="00846199" w:rsidRPr="00FE67A1">
          <w:rPr>
            <w:rStyle w:val="Hyperlink"/>
            <w:rFonts w:ascii="Arial" w:hAnsi="Arial" w:cs="Arial"/>
            <w:sz w:val="22"/>
            <w:szCs w:val="22"/>
          </w:rPr>
          <w:t>ADMS Roads</w:t>
        </w:r>
      </w:hyperlink>
      <w:r w:rsidR="00846199">
        <w:rPr>
          <w:rFonts w:ascii="Arial" w:hAnsi="Arial" w:cs="Arial"/>
          <w:sz w:val="22"/>
          <w:szCs w:val="22"/>
        </w:rPr>
        <w:t xml:space="preserve"> </w:t>
      </w:r>
      <w:r>
        <w:rPr>
          <w:rFonts w:ascii="Arial" w:hAnsi="Arial" w:cs="Arial"/>
          <w:sz w:val="22"/>
          <w:szCs w:val="22"/>
        </w:rPr>
        <w:t>(when combined with road traffic sources)</w:t>
      </w:r>
      <w:r w:rsidRPr="002E4CD4">
        <w:rPr>
          <w:rFonts w:ascii="Arial" w:hAnsi="Arial" w:cs="Arial"/>
          <w:sz w:val="22"/>
          <w:szCs w:val="22"/>
        </w:rPr>
        <w:t xml:space="preserve"> </w:t>
      </w:r>
      <w:r>
        <w:rPr>
          <w:rFonts w:ascii="Arial" w:hAnsi="Arial" w:cs="Arial"/>
          <w:sz w:val="22"/>
          <w:szCs w:val="22"/>
        </w:rPr>
        <w:t xml:space="preserve">models. </w:t>
      </w:r>
      <w:r w:rsidR="00337573" w:rsidRPr="002E4CD4">
        <w:rPr>
          <w:rFonts w:ascii="Arial" w:hAnsi="Arial" w:cs="Arial"/>
          <w:sz w:val="22"/>
          <w:szCs w:val="22"/>
        </w:rPr>
        <w:t>The dispersion modelling study should take in</w:t>
      </w:r>
      <w:r>
        <w:rPr>
          <w:rFonts w:ascii="Arial" w:hAnsi="Arial" w:cs="Arial"/>
          <w:sz w:val="22"/>
          <w:szCs w:val="22"/>
        </w:rPr>
        <w:t>to account the following matters.</w:t>
      </w:r>
    </w:p>
    <w:p w:rsidR="006D52AB" w:rsidRDefault="006D52AB" w:rsidP="007D457F">
      <w:pPr>
        <w:spacing w:after="0"/>
        <w:ind w:left="0"/>
        <w:rPr>
          <w:rFonts w:ascii="Arial" w:hAnsi="Arial" w:cs="Arial"/>
          <w:sz w:val="22"/>
          <w:szCs w:val="22"/>
        </w:rPr>
      </w:pPr>
    </w:p>
    <w:p w:rsidR="00FE67A1" w:rsidRPr="002E4CD4" w:rsidRDefault="00FE67A1" w:rsidP="007D457F">
      <w:pPr>
        <w:spacing w:after="0"/>
        <w:ind w:left="0"/>
        <w:rPr>
          <w:rFonts w:ascii="Arial" w:hAnsi="Arial" w:cs="Arial"/>
          <w:sz w:val="22"/>
          <w:szCs w:val="22"/>
        </w:rPr>
      </w:pPr>
    </w:p>
    <w:p w:rsidR="00337573" w:rsidRPr="006D52AB" w:rsidRDefault="00DB4E54" w:rsidP="007D457F">
      <w:pPr>
        <w:spacing w:after="0"/>
        <w:ind w:left="0"/>
        <w:rPr>
          <w:rFonts w:ascii="Arial" w:hAnsi="Arial" w:cs="Arial"/>
          <w:b/>
          <w:sz w:val="22"/>
          <w:szCs w:val="22"/>
        </w:rPr>
      </w:pPr>
      <w:r w:rsidRPr="006D52AB">
        <w:rPr>
          <w:rFonts w:ascii="Arial" w:hAnsi="Arial" w:cs="Arial"/>
          <w:b/>
          <w:sz w:val="22"/>
          <w:szCs w:val="22"/>
        </w:rPr>
        <w:t>Emission Source/s</w:t>
      </w:r>
    </w:p>
    <w:p w:rsidR="00337573" w:rsidRDefault="00DB4E54" w:rsidP="007D457F">
      <w:pPr>
        <w:spacing w:after="0"/>
        <w:ind w:left="0"/>
        <w:rPr>
          <w:rFonts w:ascii="Arial" w:hAnsi="Arial" w:cs="Arial"/>
          <w:sz w:val="22"/>
          <w:szCs w:val="22"/>
        </w:rPr>
      </w:pPr>
      <w:r>
        <w:rPr>
          <w:rFonts w:ascii="Arial" w:hAnsi="Arial" w:cs="Arial"/>
          <w:sz w:val="22"/>
          <w:szCs w:val="22"/>
        </w:rPr>
        <w:t>The stack</w:t>
      </w:r>
      <w:r w:rsidR="00917351">
        <w:rPr>
          <w:rFonts w:ascii="Arial" w:hAnsi="Arial" w:cs="Arial"/>
          <w:sz w:val="22"/>
          <w:szCs w:val="22"/>
        </w:rPr>
        <w:t xml:space="preserve"> release</w:t>
      </w:r>
      <w:r w:rsidR="00337573" w:rsidRPr="002E4CD4">
        <w:rPr>
          <w:rFonts w:ascii="Arial" w:hAnsi="Arial" w:cs="Arial"/>
          <w:sz w:val="22"/>
          <w:szCs w:val="22"/>
        </w:rPr>
        <w:t xml:space="preserve"> parameters used in the mode</w:t>
      </w:r>
      <w:r w:rsidR="00917351">
        <w:rPr>
          <w:rFonts w:ascii="Arial" w:hAnsi="Arial" w:cs="Arial"/>
          <w:sz w:val="22"/>
          <w:szCs w:val="22"/>
        </w:rPr>
        <w:t>l should be defined as</w:t>
      </w:r>
      <w:r w:rsidR="00337573" w:rsidRPr="002E4CD4">
        <w:rPr>
          <w:rFonts w:ascii="Arial" w:hAnsi="Arial" w:cs="Arial"/>
          <w:sz w:val="22"/>
          <w:szCs w:val="22"/>
        </w:rPr>
        <w:t xml:space="preserve"> in Table 1. The source of emissions data should be identified. </w:t>
      </w:r>
      <w:r w:rsidR="00917351">
        <w:rPr>
          <w:rFonts w:ascii="Arial" w:hAnsi="Arial" w:cs="Arial"/>
          <w:sz w:val="22"/>
          <w:szCs w:val="22"/>
        </w:rPr>
        <w:t>If information o</w:t>
      </w:r>
      <w:r>
        <w:rPr>
          <w:rFonts w:ascii="Arial" w:hAnsi="Arial" w:cs="Arial"/>
          <w:sz w:val="22"/>
          <w:szCs w:val="22"/>
        </w:rPr>
        <w:t>n</w:t>
      </w:r>
      <w:r w:rsidR="00917351">
        <w:rPr>
          <w:rFonts w:ascii="Arial" w:hAnsi="Arial" w:cs="Arial"/>
          <w:sz w:val="22"/>
          <w:szCs w:val="22"/>
        </w:rPr>
        <w:t xml:space="preserve"> variability/cycles/start-up/shut</w:t>
      </w:r>
      <w:r>
        <w:rPr>
          <w:rFonts w:ascii="Arial" w:hAnsi="Arial" w:cs="Arial"/>
          <w:sz w:val="22"/>
          <w:szCs w:val="22"/>
        </w:rPr>
        <w:t>-</w:t>
      </w:r>
      <w:r w:rsidR="00917351">
        <w:rPr>
          <w:rFonts w:ascii="Arial" w:hAnsi="Arial" w:cs="Arial"/>
          <w:sz w:val="22"/>
          <w:szCs w:val="22"/>
        </w:rPr>
        <w:t xml:space="preserve">down </w:t>
      </w:r>
      <w:proofErr w:type="gramStart"/>
      <w:r w:rsidR="00917351">
        <w:rPr>
          <w:rFonts w:ascii="Arial" w:hAnsi="Arial" w:cs="Arial"/>
          <w:sz w:val="22"/>
          <w:szCs w:val="22"/>
        </w:rPr>
        <w:t>are</w:t>
      </w:r>
      <w:proofErr w:type="gramEnd"/>
      <w:r w:rsidR="00917351">
        <w:rPr>
          <w:rFonts w:ascii="Arial" w:hAnsi="Arial" w:cs="Arial"/>
          <w:sz w:val="22"/>
          <w:szCs w:val="22"/>
        </w:rPr>
        <w:t xml:space="preserve"> not available, the model should be run</w:t>
      </w:r>
      <w:r w:rsidR="00337573" w:rsidRPr="002E4CD4">
        <w:rPr>
          <w:rFonts w:ascii="Arial" w:hAnsi="Arial" w:cs="Arial"/>
          <w:sz w:val="22"/>
          <w:szCs w:val="22"/>
        </w:rPr>
        <w:t xml:space="preserve"> based on the</w:t>
      </w:r>
      <w:r w:rsidR="00917351">
        <w:rPr>
          <w:rFonts w:ascii="Arial" w:hAnsi="Arial" w:cs="Arial"/>
          <w:sz w:val="22"/>
          <w:szCs w:val="22"/>
        </w:rPr>
        <w:t xml:space="preserve"> worst-case</w:t>
      </w:r>
      <w:r w:rsidR="00337573" w:rsidRPr="002E4CD4">
        <w:rPr>
          <w:rFonts w:ascii="Arial" w:hAnsi="Arial" w:cs="Arial"/>
          <w:sz w:val="22"/>
          <w:szCs w:val="22"/>
        </w:rPr>
        <w:t xml:space="preserve"> assumption that </w:t>
      </w:r>
      <w:r>
        <w:rPr>
          <w:rFonts w:ascii="Arial" w:hAnsi="Arial" w:cs="Arial"/>
          <w:sz w:val="22"/>
          <w:szCs w:val="22"/>
        </w:rPr>
        <w:t xml:space="preserve">steady-state </w:t>
      </w:r>
      <w:r w:rsidR="00337573" w:rsidRPr="002E4CD4">
        <w:rPr>
          <w:rFonts w:ascii="Arial" w:hAnsi="Arial" w:cs="Arial"/>
          <w:sz w:val="22"/>
          <w:szCs w:val="22"/>
        </w:rPr>
        <w:t>emission</w:t>
      </w:r>
      <w:r w:rsidR="00917351">
        <w:rPr>
          <w:rFonts w:ascii="Arial" w:hAnsi="Arial" w:cs="Arial"/>
          <w:sz w:val="22"/>
          <w:szCs w:val="22"/>
        </w:rPr>
        <w:t>s</w:t>
      </w:r>
      <w:r w:rsidR="00337573" w:rsidRPr="002E4CD4">
        <w:rPr>
          <w:rFonts w:ascii="Arial" w:hAnsi="Arial" w:cs="Arial"/>
          <w:sz w:val="22"/>
          <w:szCs w:val="22"/>
        </w:rPr>
        <w:t xml:space="preserve"> occur all ye</w:t>
      </w:r>
      <w:r w:rsidR="00917351">
        <w:rPr>
          <w:rFonts w:ascii="Arial" w:hAnsi="Arial" w:cs="Arial"/>
          <w:sz w:val="22"/>
          <w:szCs w:val="22"/>
        </w:rPr>
        <w:t>ar round at a constant emission</w:t>
      </w:r>
      <w:r w:rsidR="00337573" w:rsidRPr="002E4CD4">
        <w:rPr>
          <w:rFonts w:ascii="Arial" w:hAnsi="Arial" w:cs="Arial"/>
          <w:sz w:val="22"/>
          <w:szCs w:val="22"/>
        </w:rPr>
        <w:t xml:space="preserve"> rate.</w:t>
      </w:r>
    </w:p>
    <w:p w:rsidR="006D52AB" w:rsidRPr="002E4CD4" w:rsidRDefault="006D52AB" w:rsidP="007D457F">
      <w:pPr>
        <w:spacing w:after="0"/>
        <w:ind w:left="0"/>
        <w:rPr>
          <w:rFonts w:ascii="Arial" w:hAnsi="Arial" w:cs="Arial"/>
          <w:sz w:val="22"/>
          <w:szCs w:val="22"/>
        </w:rPr>
      </w:pPr>
    </w:p>
    <w:p w:rsidR="00337573" w:rsidRPr="006D52AB" w:rsidRDefault="00337573" w:rsidP="007D457F">
      <w:pPr>
        <w:spacing w:after="0"/>
        <w:ind w:left="283"/>
        <w:jc w:val="center"/>
        <w:rPr>
          <w:rFonts w:ascii="Arial" w:hAnsi="Arial" w:cs="Arial"/>
          <w:bCs/>
          <w:i/>
          <w:sz w:val="22"/>
          <w:szCs w:val="22"/>
        </w:rPr>
      </w:pPr>
      <w:r w:rsidRPr="006D52AB">
        <w:rPr>
          <w:rFonts w:ascii="Arial" w:hAnsi="Arial" w:cs="Arial"/>
          <w:bCs/>
          <w:i/>
          <w:sz w:val="22"/>
          <w:szCs w:val="22"/>
        </w:rPr>
        <w:t>Table 1:  Emissions and Stack Parameters</w:t>
      </w:r>
    </w:p>
    <w:p w:rsidR="006D52AB" w:rsidRPr="002E4CD4" w:rsidRDefault="006D52AB" w:rsidP="007D457F">
      <w:pPr>
        <w:spacing w:after="0"/>
        <w:ind w:left="283"/>
        <w:jc w:val="center"/>
        <w:rPr>
          <w:rFonts w:ascii="Arial" w:hAnsi="Arial" w:cs="Arial"/>
          <w:bCs/>
          <w:sz w:val="22"/>
          <w:szCs w:val="22"/>
          <w:u w:val="single"/>
        </w:rPr>
      </w:pPr>
    </w:p>
    <w:tbl>
      <w:tblPr>
        <w:tblW w:w="7229" w:type="dxa"/>
        <w:tblInd w:w="5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402"/>
        <w:gridCol w:w="3827"/>
      </w:tblGrid>
      <w:tr w:rsidR="00337573" w:rsidRPr="002E4CD4" w:rsidTr="007D457F">
        <w:tc>
          <w:tcPr>
            <w:tcW w:w="3402" w:type="dxa"/>
            <w:tcBorders>
              <w:top w:val="double" w:sz="4" w:space="0" w:color="auto"/>
              <w:left w:val="double" w:sz="4" w:space="0" w:color="auto"/>
              <w:bottom w:val="double" w:sz="4" w:space="0" w:color="auto"/>
              <w:right w:val="single" w:sz="4" w:space="0" w:color="auto"/>
            </w:tcBorders>
            <w:vAlign w:val="center"/>
          </w:tcPr>
          <w:p w:rsidR="00337573" w:rsidRPr="002E4CD4" w:rsidRDefault="00337573" w:rsidP="006D52AB">
            <w:pPr>
              <w:spacing w:after="0"/>
              <w:ind w:left="0"/>
              <w:jc w:val="center"/>
              <w:rPr>
                <w:rFonts w:ascii="Arial" w:hAnsi="Arial" w:cs="Arial"/>
                <w:b/>
                <w:bCs/>
                <w:sz w:val="22"/>
                <w:szCs w:val="22"/>
              </w:rPr>
            </w:pPr>
            <w:r w:rsidRPr="002E4CD4">
              <w:rPr>
                <w:rFonts w:ascii="Arial" w:hAnsi="Arial" w:cs="Arial"/>
                <w:b/>
                <w:bCs/>
                <w:sz w:val="22"/>
                <w:szCs w:val="22"/>
              </w:rPr>
              <w:t>Parameter</w:t>
            </w:r>
          </w:p>
        </w:tc>
        <w:tc>
          <w:tcPr>
            <w:tcW w:w="3827" w:type="dxa"/>
            <w:tcBorders>
              <w:top w:val="double" w:sz="4" w:space="0" w:color="auto"/>
              <w:left w:val="single" w:sz="4" w:space="0" w:color="auto"/>
              <w:bottom w:val="double" w:sz="4" w:space="0" w:color="auto"/>
              <w:right w:val="double" w:sz="4" w:space="0" w:color="auto"/>
            </w:tcBorders>
            <w:vAlign w:val="center"/>
          </w:tcPr>
          <w:p w:rsidR="00337573" w:rsidRPr="002E4CD4" w:rsidRDefault="00337573" w:rsidP="006D52AB">
            <w:pPr>
              <w:spacing w:after="0"/>
              <w:ind w:left="0"/>
              <w:jc w:val="center"/>
              <w:rPr>
                <w:rFonts w:ascii="Arial" w:hAnsi="Arial" w:cs="Arial"/>
                <w:b/>
                <w:bCs/>
                <w:sz w:val="22"/>
                <w:szCs w:val="22"/>
              </w:rPr>
            </w:pPr>
            <w:r w:rsidRPr="002E4CD4">
              <w:rPr>
                <w:rFonts w:ascii="Arial" w:hAnsi="Arial" w:cs="Arial"/>
                <w:b/>
                <w:bCs/>
                <w:sz w:val="22"/>
                <w:szCs w:val="22"/>
              </w:rPr>
              <w:t>Units</w:t>
            </w:r>
          </w:p>
        </w:tc>
      </w:tr>
      <w:tr w:rsidR="00337573" w:rsidRPr="002E4CD4" w:rsidTr="007D457F">
        <w:tc>
          <w:tcPr>
            <w:tcW w:w="3402" w:type="dxa"/>
            <w:tcBorders>
              <w:top w:val="doub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Stack Location</w:t>
            </w:r>
          </w:p>
        </w:tc>
        <w:tc>
          <w:tcPr>
            <w:tcW w:w="3827" w:type="dxa"/>
            <w:tcBorders>
              <w:top w:val="double" w:sz="4" w:space="0" w:color="auto"/>
              <w:left w:val="single" w:sz="4" w:space="0" w:color="auto"/>
              <w:bottom w:val="single" w:sz="4" w:space="0" w:color="auto"/>
              <w:right w:val="double" w:sz="4" w:space="0" w:color="auto"/>
            </w:tcBorders>
            <w:vAlign w:val="center"/>
          </w:tcPr>
          <w:p w:rsidR="00337573" w:rsidRPr="002E4CD4" w:rsidRDefault="00337573" w:rsidP="006D52AB">
            <w:pPr>
              <w:pStyle w:val="xl34"/>
              <w:pBdr>
                <w:left w:val="none" w:sz="0" w:space="0" w:color="auto"/>
              </w:pBdr>
              <w:spacing w:before="0" w:beforeAutospacing="0" w:after="0" w:afterAutospacing="0"/>
              <w:rPr>
                <w:rFonts w:ascii="Arial" w:hAnsi="Arial" w:cs="Arial"/>
                <w:sz w:val="22"/>
                <w:szCs w:val="22"/>
              </w:rPr>
            </w:pPr>
            <w:r w:rsidRPr="002E4CD4">
              <w:rPr>
                <w:rFonts w:ascii="Arial" w:hAnsi="Arial" w:cs="Arial"/>
                <w:sz w:val="22"/>
                <w:szCs w:val="22"/>
              </w:rPr>
              <w:t>(</w:t>
            </w:r>
            <w:proofErr w:type="spellStart"/>
            <w:r w:rsidRPr="002E4CD4">
              <w:rPr>
                <w:rFonts w:ascii="Arial" w:hAnsi="Arial" w:cs="Arial"/>
                <w:sz w:val="22"/>
                <w:szCs w:val="22"/>
              </w:rPr>
              <w:t>xxxxxx,yyyyyy</w:t>
            </w:r>
            <w:proofErr w:type="spellEnd"/>
            <w:r w:rsidRPr="002E4CD4">
              <w:rPr>
                <w:rFonts w:ascii="Arial" w:hAnsi="Arial" w:cs="Arial"/>
                <w:sz w:val="22"/>
                <w:szCs w:val="22"/>
              </w:rPr>
              <w:t>) grid reference</w:t>
            </w:r>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Stack height above ground</w:t>
            </w: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917351" w:rsidP="006D52AB">
            <w:pPr>
              <w:pStyle w:val="Header"/>
              <w:jc w:val="center"/>
              <w:rPr>
                <w:rFonts w:ascii="Arial" w:hAnsi="Arial" w:cs="Arial"/>
                <w:sz w:val="22"/>
                <w:szCs w:val="22"/>
              </w:rPr>
            </w:pPr>
            <w:r>
              <w:rPr>
                <w:rFonts w:ascii="Arial" w:hAnsi="Arial" w:cs="Arial"/>
                <w:sz w:val="22"/>
                <w:szCs w:val="22"/>
              </w:rPr>
              <w:t>M</w:t>
            </w:r>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Number of flues</w:t>
            </w: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337573" w:rsidP="006D52AB">
            <w:pPr>
              <w:pStyle w:val="Header"/>
              <w:jc w:val="center"/>
              <w:rPr>
                <w:rFonts w:ascii="Arial" w:hAnsi="Arial" w:cs="Arial"/>
                <w:sz w:val="22"/>
                <w:szCs w:val="22"/>
              </w:rPr>
            </w:pPr>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Maximum pollutant emission rates at operating capacity (</w:t>
            </w:r>
            <w:r w:rsidR="00DB4E54">
              <w:rPr>
                <w:rFonts w:ascii="Arial" w:hAnsi="Arial" w:cs="Arial"/>
                <w:sz w:val="22"/>
                <w:szCs w:val="22"/>
              </w:rPr>
              <w:t>NOx</w:t>
            </w:r>
            <w:r w:rsidRPr="002E4CD4">
              <w:rPr>
                <w:rFonts w:ascii="Arial" w:hAnsi="Arial" w:cs="Arial"/>
                <w:sz w:val="22"/>
                <w:szCs w:val="22"/>
              </w:rPr>
              <w:t>)</w:t>
            </w: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917351" w:rsidP="006D52AB">
            <w:pPr>
              <w:spacing w:after="0"/>
              <w:ind w:left="0"/>
              <w:jc w:val="center"/>
              <w:rPr>
                <w:rFonts w:ascii="Arial" w:hAnsi="Arial" w:cs="Arial"/>
                <w:sz w:val="22"/>
                <w:szCs w:val="22"/>
              </w:rPr>
            </w:pPr>
            <w:r>
              <w:rPr>
                <w:rFonts w:ascii="Arial" w:hAnsi="Arial" w:cs="Arial"/>
                <w:sz w:val="22"/>
                <w:szCs w:val="22"/>
              </w:rPr>
              <w:t>g/s</w:t>
            </w:r>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Flue diameter</w:t>
            </w: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917351" w:rsidP="006D52AB">
            <w:pPr>
              <w:spacing w:after="0"/>
              <w:ind w:left="0"/>
              <w:jc w:val="center"/>
              <w:rPr>
                <w:rFonts w:ascii="Arial" w:hAnsi="Arial" w:cs="Arial"/>
                <w:sz w:val="22"/>
                <w:szCs w:val="22"/>
              </w:rPr>
            </w:pPr>
            <w:r>
              <w:rPr>
                <w:rFonts w:ascii="Arial" w:hAnsi="Arial" w:cs="Arial"/>
                <w:sz w:val="22"/>
                <w:szCs w:val="22"/>
              </w:rPr>
              <w:t>M</w:t>
            </w:r>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Flue area</w:t>
            </w: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337573" w:rsidP="006D52AB">
            <w:pPr>
              <w:spacing w:after="0"/>
              <w:ind w:left="0"/>
              <w:jc w:val="center"/>
              <w:rPr>
                <w:rFonts w:ascii="Arial" w:hAnsi="Arial" w:cs="Arial"/>
                <w:sz w:val="22"/>
                <w:szCs w:val="22"/>
              </w:rPr>
            </w:pPr>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Exit temperature</w:t>
            </w: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917351" w:rsidP="006D52AB">
            <w:pPr>
              <w:spacing w:after="0"/>
              <w:ind w:left="0"/>
              <w:jc w:val="center"/>
              <w:rPr>
                <w:rFonts w:ascii="Arial" w:hAnsi="Arial" w:cs="Arial"/>
                <w:sz w:val="22"/>
                <w:szCs w:val="22"/>
              </w:rPr>
            </w:pPr>
            <w:r>
              <w:rPr>
                <w:rFonts w:ascii="Arial" w:hAnsi="Arial" w:cs="Arial"/>
                <w:sz w:val="22"/>
                <w:szCs w:val="22"/>
              </w:rPr>
              <w:t xml:space="preserve">K or </w:t>
            </w:r>
            <w:proofErr w:type="spellStart"/>
            <w:r w:rsidRPr="00917351">
              <w:rPr>
                <w:rFonts w:ascii="Arial" w:hAnsi="Arial" w:cs="Arial"/>
                <w:sz w:val="22"/>
                <w:szCs w:val="22"/>
                <w:vertAlign w:val="superscript"/>
              </w:rPr>
              <w:t>o</w:t>
            </w:r>
            <w:r>
              <w:rPr>
                <w:rFonts w:ascii="Arial" w:hAnsi="Arial" w:cs="Arial"/>
                <w:sz w:val="22"/>
                <w:szCs w:val="22"/>
              </w:rPr>
              <w:t>C</w:t>
            </w:r>
            <w:proofErr w:type="spellEnd"/>
          </w:p>
        </w:tc>
      </w:tr>
      <w:tr w:rsidR="00337573" w:rsidRPr="002E4CD4" w:rsidTr="007D457F">
        <w:tc>
          <w:tcPr>
            <w:tcW w:w="3402" w:type="dxa"/>
            <w:tcBorders>
              <w:top w:val="single" w:sz="4" w:space="0" w:color="auto"/>
              <w:left w:val="double" w:sz="4" w:space="0" w:color="auto"/>
              <w:bottom w:val="single" w:sz="4" w:space="0" w:color="auto"/>
              <w:right w:val="sing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Efflux velocity</w:t>
            </w:r>
          </w:p>
          <w:p w:rsidR="00337573" w:rsidRPr="002E4CD4" w:rsidRDefault="00337573" w:rsidP="006D52AB">
            <w:pPr>
              <w:spacing w:after="0"/>
              <w:ind w:left="0"/>
              <w:jc w:val="center"/>
              <w:rPr>
                <w:rFonts w:ascii="Arial" w:hAnsi="Arial" w:cs="Arial"/>
                <w:sz w:val="22"/>
                <w:szCs w:val="22"/>
              </w:rPr>
            </w:pPr>
          </w:p>
        </w:tc>
        <w:tc>
          <w:tcPr>
            <w:tcW w:w="3827" w:type="dxa"/>
            <w:tcBorders>
              <w:top w:val="single" w:sz="4" w:space="0" w:color="auto"/>
              <w:left w:val="single" w:sz="4" w:space="0" w:color="auto"/>
              <w:bottom w:val="single" w:sz="4" w:space="0" w:color="auto"/>
              <w:right w:val="double" w:sz="4" w:space="0" w:color="auto"/>
            </w:tcBorders>
            <w:vAlign w:val="center"/>
          </w:tcPr>
          <w:p w:rsidR="00337573" w:rsidRPr="002E4CD4" w:rsidRDefault="00337573" w:rsidP="006D52AB">
            <w:pPr>
              <w:spacing w:after="0"/>
              <w:ind w:left="0"/>
              <w:jc w:val="center"/>
              <w:rPr>
                <w:rFonts w:ascii="Arial" w:hAnsi="Arial" w:cs="Arial"/>
                <w:sz w:val="22"/>
                <w:szCs w:val="22"/>
              </w:rPr>
            </w:pPr>
            <w:r w:rsidRPr="002E4CD4">
              <w:rPr>
                <w:rFonts w:ascii="Arial" w:hAnsi="Arial" w:cs="Arial"/>
                <w:sz w:val="22"/>
                <w:szCs w:val="22"/>
              </w:rPr>
              <w:t>m</w:t>
            </w:r>
            <w:r w:rsidRPr="002E4CD4">
              <w:rPr>
                <w:rFonts w:ascii="Arial" w:hAnsi="Arial" w:cs="Arial"/>
                <w:sz w:val="22"/>
                <w:szCs w:val="22"/>
                <w:vertAlign w:val="superscript"/>
              </w:rPr>
              <w:t>3</w:t>
            </w:r>
            <w:r w:rsidR="00917351">
              <w:rPr>
                <w:rFonts w:ascii="Arial" w:hAnsi="Arial" w:cs="Arial"/>
                <w:sz w:val="22"/>
                <w:szCs w:val="22"/>
              </w:rPr>
              <w:t>/s</w:t>
            </w:r>
          </w:p>
        </w:tc>
      </w:tr>
      <w:tr w:rsidR="00917351" w:rsidRPr="002E4CD4" w:rsidTr="007D457F">
        <w:tc>
          <w:tcPr>
            <w:tcW w:w="3402" w:type="dxa"/>
            <w:tcBorders>
              <w:top w:val="single" w:sz="4" w:space="0" w:color="auto"/>
              <w:left w:val="double" w:sz="4" w:space="0" w:color="auto"/>
              <w:bottom w:val="double" w:sz="4" w:space="0" w:color="auto"/>
              <w:right w:val="single" w:sz="4" w:space="0" w:color="auto"/>
            </w:tcBorders>
            <w:vAlign w:val="center"/>
          </w:tcPr>
          <w:p w:rsidR="00917351" w:rsidRPr="002E4CD4" w:rsidRDefault="00917351" w:rsidP="006D52AB">
            <w:pPr>
              <w:spacing w:after="0"/>
              <w:ind w:left="0"/>
              <w:jc w:val="center"/>
              <w:rPr>
                <w:rFonts w:ascii="Arial" w:hAnsi="Arial" w:cs="Arial"/>
                <w:sz w:val="22"/>
                <w:szCs w:val="22"/>
              </w:rPr>
            </w:pPr>
            <w:r>
              <w:rPr>
                <w:rFonts w:ascii="Arial" w:hAnsi="Arial" w:cs="Arial"/>
                <w:sz w:val="22"/>
                <w:szCs w:val="22"/>
              </w:rPr>
              <w:t xml:space="preserve">Actual volumetric flow-rate </w:t>
            </w:r>
          </w:p>
        </w:tc>
        <w:tc>
          <w:tcPr>
            <w:tcW w:w="3827" w:type="dxa"/>
            <w:tcBorders>
              <w:top w:val="single" w:sz="4" w:space="0" w:color="auto"/>
              <w:left w:val="single" w:sz="4" w:space="0" w:color="auto"/>
              <w:bottom w:val="double" w:sz="4" w:space="0" w:color="auto"/>
              <w:right w:val="double" w:sz="4" w:space="0" w:color="auto"/>
            </w:tcBorders>
            <w:vAlign w:val="center"/>
          </w:tcPr>
          <w:p w:rsidR="00917351" w:rsidRPr="002E4CD4" w:rsidRDefault="00917351" w:rsidP="006D52AB">
            <w:pPr>
              <w:spacing w:after="0"/>
              <w:ind w:left="0"/>
              <w:jc w:val="center"/>
              <w:rPr>
                <w:rFonts w:ascii="Arial" w:hAnsi="Arial" w:cs="Arial"/>
                <w:sz w:val="22"/>
                <w:szCs w:val="22"/>
              </w:rPr>
            </w:pPr>
            <w:r>
              <w:rPr>
                <w:rFonts w:ascii="Arial" w:hAnsi="Arial" w:cs="Arial"/>
                <w:sz w:val="22"/>
                <w:szCs w:val="22"/>
              </w:rPr>
              <w:t>Am</w:t>
            </w:r>
            <w:r w:rsidRPr="00917351">
              <w:rPr>
                <w:rFonts w:ascii="Arial" w:hAnsi="Arial" w:cs="Arial"/>
                <w:sz w:val="22"/>
                <w:szCs w:val="22"/>
                <w:vertAlign w:val="superscript"/>
              </w:rPr>
              <w:t>3</w:t>
            </w:r>
            <w:r>
              <w:rPr>
                <w:rFonts w:ascii="Arial" w:hAnsi="Arial" w:cs="Arial"/>
                <w:sz w:val="22"/>
                <w:szCs w:val="22"/>
              </w:rPr>
              <w:t>/s</w:t>
            </w:r>
          </w:p>
        </w:tc>
      </w:tr>
    </w:tbl>
    <w:p w:rsidR="00337573" w:rsidRPr="002E4CD4" w:rsidRDefault="00337573" w:rsidP="007D457F">
      <w:pPr>
        <w:spacing w:after="0"/>
        <w:ind w:left="283"/>
        <w:rPr>
          <w:rFonts w:ascii="Arial" w:hAnsi="Arial" w:cs="Arial"/>
          <w:sz w:val="22"/>
          <w:szCs w:val="22"/>
        </w:rPr>
      </w:pPr>
    </w:p>
    <w:p w:rsidR="00337573" w:rsidRDefault="00917351" w:rsidP="007D457F">
      <w:pPr>
        <w:pStyle w:val="BodyTextIndent"/>
        <w:spacing w:after="0"/>
        <w:ind w:left="0"/>
        <w:rPr>
          <w:sz w:val="22"/>
          <w:szCs w:val="22"/>
        </w:rPr>
      </w:pPr>
      <w:r>
        <w:rPr>
          <w:sz w:val="22"/>
          <w:szCs w:val="22"/>
        </w:rPr>
        <w:t xml:space="preserve">The height of </w:t>
      </w:r>
      <w:r w:rsidR="006D52AB">
        <w:rPr>
          <w:sz w:val="22"/>
          <w:szCs w:val="22"/>
        </w:rPr>
        <w:t>the stack</w:t>
      </w:r>
      <w:r>
        <w:rPr>
          <w:sz w:val="22"/>
          <w:szCs w:val="22"/>
        </w:rPr>
        <w:t xml:space="preserve">/s above </w:t>
      </w:r>
      <w:r w:rsidR="006D52AB">
        <w:rPr>
          <w:sz w:val="22"/>
          <w:szCs w:val="22"/>
        </w:rPr>
        <w:t xml:space="preserve">ground </w:t>
      </w:r>
      <w:r w:rsidR="006D52AB" w:rsidRPr="002E4CD4">
        <w:rPr>
          <w:sz w:val="22"/>
          <w:szCs w:val="22"/>
        </w:rPr>
        <w:t>must</w:t>
      </w:r>
      <w:r w:rsidR="00337573" w:rsidRPr="002E4CD4">
        <w:rPr>
          <w:sz w:val="22"/>
          <w:szCs w:val="22"/>
        </w:rPr>
        <w:t xml:space="preserve"> be </w:t>
      </w:r>
      <w:r>
        <w:rPr>
          <w:sz w:val="22"/>
          <w:szCs w:val="22"/>
        </w:rPr>
        <w:t>provided</w:t>
      </w:r>
      <w:r w:rsidR="00337573" w:rsidRPr="002E4CD4">
        <w:rPr>
          <w:sz w:val="22"/>
          <w:szCs w:val="22"/>
        </w:rPr>
        <w:t xml:space="preserve">.  An indication of only the height </w:t>
      </w:r>
      <w:r>
        <w:rPr>
          <w:sz w:val="22"/>
          <w:szCs w:val="22"/>
        </w:rPr>
        <w:t xml:space="preserve">of the stack above roof ridge </w:t>
      </w:r>
      <w:r w:rsidR="00571B34">
        <w:rPr>
          <w:sz w:val="22"/>
          <w:szCs w:val="22"/>
        </w:rPr>
        <w:t xml:space="preserve">is </w:t>
      </w:r>
      <w:r>
        <w:rPr>
          <w:sz w:val="22"/>
          <w:szCs w:val="22"/>
        </w:rPr>
        <w:t xml:space="preserve">not </w:t>
      </w:r>
      <w:r w:rsidR="00337573" w:rsidRPr="002E4CD4">
        <w:rPr>
          <w:sz w:val="22"/>
          <w:szCs w:val="22"/>
        </w:rPr>
        <w:t>adequate.</w:t>
      </w:r>
    </w:p>
    <w:p w:rsidR="006D52AB" w:rsidRDefault="006D52AB" w:rsidP="007D457F">
      <w:pPr>
        <w:spacing w:after="0"/>
        <w:ind w:left="0"/>
        <w:rPr>
          <w:rFonts w:ascii="Arial" w:hAnsi="Arial" w:cs="Arial"/>
          <w:sz w:val="22"/>
          <w:szCs w:val="22"/>
          <w:u w:val="single"/>
        </w:rPr>
      </w:pPr>
    </w:p>
    <w:p w:rsidR="00FE67A1" w:rsidRDefault="00FE67A1" w:rsidP="007D457F">
      <w:pPr>
        <w:spacing w:after="0"/>
        <w:ind w:left="0"/>
        <w:rPr>
          <w:rFonts w:ascii="Arial" w:hAnsi="Arial" w:cs="Arial"/>
          <w:sz w:val="22"/>
          <w:szCs w:val="22"/>
          <w:u w:val="single"/>
        </w:rPr>
      </w:pPr>
    </w:p>
    <w:p w:rsidR="00337573" w:rsidRPr="006D52AB" w:rsidRDefault="00337573" w:rsidP="007D457F">
      <w:pPr>
        <w:spacing w:after="0"/>
        <w:ind w:left="0"/>
        <w:rPr>
          <w:rFonts w:ascii="Arial" w:hAnsi="Arial" w:cs="Arial"/>
          <w:b/>
          <w:sz w:val="22"/>
          <w:szCs w:val="22"/>
        </w:rPr>
      </w:pPr>
      <w:r w:rsidRPr="006D52AB">
        <w:rPr>
          <w:rFonts w:ascii="Arial" w:hAnsi="Arial" w:cs="Arial"/>
          <w:b/>
          <w:sz w:val="22"/>
          <w:szCs w:val="22"/>
        </w:rPr>
        <w:t>Building Parameters</w:t>
      </w:r>
    </w:p>
    <w:p w:rsidR="00337573" w:rsidRPr="002E4CD4" w:rsidRDefault="00337573" w:rsidP="007D457F">
      <w:pPr>
        <w:autoSpaceDE w:val="0"/>
        <w:autoSpaceDN w:val="0"/>
        <w:adjustRightInd w:val="0"/>
        <w:spacing w:after="0"/>
        <w:ind w:left="0"/>
        <w:rPr>
          <w:rFonts w:ascii="Arial" w:hAnsi="Arial" w:cs="Arial"/>
          <w:sz w:val="22"/>
          <w:szCs w:val="22"/>
        </w:rPr>
      </w:pPr>
      <w:r w:rsidRPr="002E4CD4">
        <w:rPr>
          <w:rFonts w:ascii="Arial" w:hAnsi="Arial" w:cs="Arial"/>
          <w:sz w:val="22"/>
          <w:szCs w:val="22"/>
        </w:rPr>
        <w:t>Buildings with a height of more than a third of the height of a stack within horizontal distance of approximately 10 stack heights are likely to affect the di</w:t>
      </w:r>
      <w:r w:rsidR="00917351">
        <w:rPr>
          <w:rFonts w:ascii="Arial" w:hAnsi="Arial" w:cs="Arial"/>
          <w:sz w:val="22"/>
          <w:szCs w:val="22"/>
        </w:rPr>
        <w:t>spersion of plume</w:t>
      </w:r>
      <w:r w:rsidRPr="002E4CD4">
        <w:rPr>
          <w:rFonts w:ascii="Arial" w:hAnsi="Arial" w:cs="Arial"/>
          <w:sz w:val="22"/>
          <w:szCs w:val="22"/>
        </w:rPr>
        <w:t>.</w:t>
      </w:r>
      <w:r w:rsidR="00917351">
        <w:rPr>
          <w:rFonts w:ascii="Arial" w:hAnsi="Arial" w:cs="Arial"/>
          <w:sz w:val="22"/>
          <w:szCs w:val="22"/>
        </w:rPr>
        <w:t xml:space="preserve"> The structures on site that fulfil</w:t>
      </w:r>
      <w:r w:rsidRPr="002E4CD4">
        <w:rPr>
          <w:rFonts w:ascii="Arial" w:hAnsi="Arial" w:cs="Arial"/>
          <w:sz w:val="22"/>
          <w:szCs w:val="22"/>
        </w:rPr>
        <w:t xml:space="preserve"> this criterion should be included in the model and referenced in the report. </w:t>
      </w:r>
    </w:p>
    <w:p w:rsidR="00337573" w:rsidRDefault="00337573" w:rsidP="007D457F">
      <w:pPr>
        <w:spacing w:after="0"/>
        <w:ind w:left="283"/>
        <w:rPr>
          <w:rFonts w:ascii="Arial" w:hAnsi="Arial" w:cs="Arial"/>
          <w:sz w:val="22"/>
          <w:szCs w:val="22"/>
          <w:u w:val="single"/>
        </w:rPr>
      </w:pPr>
    </w:p>
    <w:p w:rsidR="00FE67A1" w:rsidRDefault="00FE67A1" w:rsidP="007D457F">
      <w:pPr>
        <w:spacing w:after="0"/>
        <w:ind w:left="283"/>
        <w:rPr>
          <w:rFonts w:ascii="Arial" w:hAnsi="Arial" w:cs="Arial"/>
          <w:sz w:val="22"/>
          <w:szCs w:val="22"/>
          <w:u w:val="single"/>
        </w:rPr>
      </w:pPr>
    </w:p>
    <w:p w:rsidR="00337573" w:rsidRPr="006D52AB" w:rsidRDefault="00337573" w:rsidP="007D457F">
      <w:pPr>
        <w:spacing w:after="0"/>
        <w:ind w:left="0"/>
        <w:rPr>
          <w:rFonts w:ascii="Arial" w:hAnsi="Arial" w:cs="Arial"/>
          <w:b/>
          <w:sz w:val="22"/>
          <w:szCs w:val="22"/>
        </w:rPr>
      </w:pPr>
      <w:r w:rsidRPr="006D52AB">
        <w:rPr>
          <w:rFonts w:ascii="Arial" w:hAnsi="Arial" w:cs="Arial"/>
          <w:b/>
          <w:sz w:val="22"/>
          <w:szCs w:val="22"/>
        </w:rPr>
        <w:t>Meteorological Data</w:t>
      </w:r>
    </w:p>
    <w:p w:rsidR="00337573" w:rsidRPr="002E4CD4" w:rsidRDefault="00807DF5" w:rsidP="007D457F">
      <w:pPr>
        <w:autoSpaceDE w:val="0"/>
        <w:autoSpaceDN w:val="0"/>
        <w:adjustRightInd w:val="0"/>
        <w:spacing w:after="0"/>
        <w:ind w:left="0"/>
        <w:rPr>
          <w:rFonts w:ascii="Arial" w:hAnsi="Arial" w:cs="Arial"/>
          <w:sz w:val="22"/>
          <w:szCs w:val="22"/>
        </w:rPr>
      </w:pPr>
      <w:r>
        <w:rPr>
          <w:rFonts w:ascii="Arial" w:hAnsi="Arial" w:cs="Arial"/>
          <w:sz w:val="22"/>
          <w:szCs w:val="22"/>
        </w:rPr>
        <w:t>Details of</w:t>
      </w:r>
      <w:r w:rsidR="00337573" w:rsidRPr="002E4CD4">
        <w:rPr>
          <w:rFonts w:ascii="Arial" w:hAnsi="Arial" w:cs="Arial"/>
          <w:sz w:val="22"/>
          <w:szCs w:val="22"/>
        </w:rPr>
        <w:t xml:space="preserve"> the meteorological data to be used within the dispersion model would be provided in the report.  Hourly sequential data should be obtained for </w:t>
      </w:r>
      <w:r>
        <w:rPr>
          <w:rFonts w:ascii="Arial" w:hAnsi="Arial" w:cs="Arial"/>
          <w:sz w:val="22"/>
          <w:szCs w:val="22"/>
        </w:rPr>
        <w:t xml:space="preserve">at least </w:t>
      </w:r>
      <w:r w:rsidR="00337573" w:rsidRPr="002E4CD4">
        <w:rPr>
          <w:rFonts w:ascii="Arial" w:hAnsi="Arial" w:cs="Arial"/>
          <w:sz w:val="22"/>
          <w:szCs w:val="22"/>
        </w:rPr>
        <w:t xml:space="preserve">three years from a </w:t>
      </w:r>
      <w:r w:rsidR="00337573" w:rsidRPr="002E4CD4">
        <w:rPr>
          <w:rFonts w:ascii="Arial" w:hAnsi="Arial" w:cs="Arial"/>
          <w:sz w:val="22"/>
          <w:szCs w:val="22"/>
        </w:rPr>
        <w:lastRenderedPageBreak/>
        <w:t>nearby representative Meteorological Office observing station. Preliminary modelling runs shou</w:t>
      </w:r>
      <w:r w:rsidR="00DB4E54">
        <w:rPr>
          <w:rFonts w:ascii="Arial" w:hAnsi="Arial" w:cs="Arial"/>
          <w:sz w:val="22"/>
          <w:szCs w:val="22"/>
        </w:rPr>
        <w:t>ld be carried out to identify</w:t>
      </w:r>
      <w:r w:rsidR="00337573" w:rsidRPr="002E4CD4">
        <w:rPr>
          <w:rFonts w:ascii="Arial" w:hAnsi="Arial" w:cs="Arial"/>
          <w:sz w:val="22"/>
          <w:szCs w:val="22"/>
        </w:rPr>
        <w:t xml:space="preserve"> which year gives rise to the highe</w:t>
      </w:r>
      <w:r>
        <w:rPr>
          <w:rFonts w:ascii="Arial" w:hAnsi="Arial" w:cs="Arial"/>
          <w:sz w:val="22"/>
          <w:szCs w:val="22"/>
        </w:rPr>
        <w:t>st short-term and long-term pollutant impacts</w:t>
      </w:r>
      <w:r w:rsidR="00337573" w:rsidRPr="002E4CD4">
        <w:rPr>
          <w:rFonts w:ascii="Arial" w:hAnsi="Arial" w:cs="Arial"/>
          <w:sz w:val="22"/>
          <w:szCs w:val="22"/>
        </w:rPr>
        <w:t>.</w:t>
      </w:r>
    </w:p>
    <w:p w:rsidR="006D52AB" w:rsidRDefault="006D52AB" w:rsidP="007D457F">
      <w:pPr>
        <w:autoSpaceDE w:val="0"/>
        <w:autoSpaceDN w:val="0"/>
        <w:adjustRightInd w:val="0"/>
        <w:spacing w:after="0"/>
        <w:ind w:left="0"/>
        <w:rPr>
          <w:rFonts w:ascii="Arial" w:hAnsi="Arial" w:cs="Arial"/>
          <w:sz w:val="22"/>
          <w:szCs w:val="22"/>
        </w:rPr>
      </w:pPr>
    </w:p>
    <w:p w:rsidR="006D52AB" w:rsidRDefault="006D52AB" w:rsidP="007D457F">
      <w:pPr>
        <w:autoSpaceDE w:val="0"/>
        <w:autoSpaceDN w:val="0"/>
        <w:adjustRightInd w:val="0"/>
        <w:spacing w:after="0"/>
        <w:ind w:left="0"/>
        <w:rPr>
          <w:rFonts w:ascii="Arial" w:hAnsi="Arial" w:cs="Arial"/>
          <w:sz w:val="22"/>
          <w:szCs w:val="22"/>
        </w:rPr>
      </w:pPr>
    </w:p>
    <w:p w:rsidR="00337573" w:rsidRPr="006D52AB" w:rsidRDefault="00337573" w:rsidP="007D457F">
      <w:pPr>
        <w:autoSpaceDE w:val="0"/>
        <w:autoSpaceDN w:val="0"/>
        <w:adjustRightInd w:val="0"/>
        <w:spacing w:after="0"/>
        <w:ind w:left="0"/>
        <w:rPr>
          <w:rFonts w:ascii="Arial" w:hAnsi="Arial" w:cs="Arial"/>
          <w:b/>
          <w:sz w:val="22"/>
          <w:szCs w:val="22"/>
        </w:rPr>
      </w:pPr>
      <w:r w:rsidRPr="006D52AB">
        <w:rPr>
          <w:rFonts w:ascii="Arial" w:hAnsi="Arial" w:cs="Arial"/>
          <w:b/>
          <w:sz w:val="22"/>
          <w:szCs w:val="22"/>
        </w:rPr>
        <w:t>Terrain and Surface Roughness</w:t>
      </w:r>
    </w:p>
    <w:p w:rsidR="00337573" w:rsidRPr="002E4CD4" w:rsidRDefault="00337573" w:rsidP="007D457F">
      <w:pPr>
        <w:autoSpaceDE w:val="0"/>
        <w:autoSpaceDN w:val="0"/>
        <w:adjustRightInd w:val="0"/>
        <w:spacing w:after="0"/>
        <w:ind w:left="0"/>
        <w:rPr>
          <w:rFonts w:ascii="Arial" w:hAnsi="Arial" w:cs="Arial"/>
          <w:sz w:val="22"/>
          <w:szCs w:val="22"/>
        </w:rPr>
      </w:pPr>
      <w:r w:rsidRPr="002E4CD4">
        <w:rPr>
          <w:rFonts w:ascii="Arial" w:hAnsi="Arial" w:cs="Arial"/>
          <w:sz w:val="22"/>
          <w:szCs w:val="22"/>
        </w:rPr>
        <w:t>Terrain and surface roughness parameter</w:t>
      </w:r>
      <w:r w:rsidR="00F57B38">
        <w:rPr>
          <w:rFonts w:ascii="Arial" w:hAnsi="Arial" w:cs="Arial"/>
          <w:sz w:val="22"/>
          <w:szCs w:val="22"/>
        </w:rPr>
        <w:t>s used in the model set-</w:t>
      </w:r>
      <w:r w:rsidRPr="002E4CD4">
        <w:rPr>
          <w:rFonts w:ascii="Arial" w:hAnsi="Arial" w:cs="Arial"/>
          <w:sz w:val="22"/>
          <w:szCs w:val="22"/>
        </w:rPr>
        <w:t xml:space="preserve">up should be identified. </w:t>
      </w:r>
    </w:p>
    <w:p w:rsidR="00337573" w:rsidRDefault="00337573" w:rsidP="007D457F">
      <w:pPr>
        <w:spacing w:after="0"/>
        <w:ind w:left="283"/>
        <w:rPr>
          <w:rFonts w:ascii="Arial" w:hAnsi="Arial" w:cs="Arial"/>
          <w:sz w:val="22"/>
          <w:szCs w:val="22"/>
          <w:u w:val="single"/>
        </w:rPr>
      </w:pPr>
    </w:p>
    <w:p w:rsidR="00FE67A1" w:rsidRPr="002E4CD4" w:rsidRDefault="00FE67A1" w:rsidP="007D457F">
      <w:pPr>
        <w:spacing w:after="0"/>
        <w:ind w:left="283"/>
        <w:rPr>
          <w:rFonts w:ascii="Arial" w:hAnsi="Arial" w:cs="Arial"/>
          <w:sz w:val="22"/>
          <w:szCs w:val="22"/>
          <w:u w:val="single"/>
        </w:rPr>
      </w:pPr>
    </w:p>
    <w:p w:rsidR="00337573" w:rsidRPr="006D52AB" w:rsidRDefault="00337573" w:rsidP="007D457F">
      <w:pPr>
        <w:spacing w:after="0"/>
        <w:ind w:left="0"/>
        <w:rPr>
          <w:rFonts w:ascii="Arial" w:hAnsi="Arial" w:cs="Arial"/>
          <w:b/>
          <w:sz w:val="22"/>
          <w:szCs w:val="22"/>
        </w:rPr>
      </w:pPr>
      <w:r w:rsidRPr="006D52AB">
        <w:rPr>
          <w:rFonts w:ascii="Arial" w:hAnsi="Arial" w:cs="Arial"/>
          <w:b/>
          <w:sz w:val="22"/>
          <w:szCs w:val="22"/>
        </w:rPr>
        <w:t>Background Concentrations</w:t>
      </w:r>
    </w:p>
    <w:p w:rsidR="00F57B38" w:rsidRDefault="00337573" w:rsidP="007D457F">
      <w:pPr>
        <w:autoSpaceDE w:val="0"/>
        <w:autoSpaceDN w:val="0"/>
        <w:adjustRightInd w:val="0"/>
        <w:spacing w:after="0"/>
        <w:ind w:left="0"/>
        <w:rPr>
          <w:rFonts w:ascii="Arial" w:hAnsi="Arial" w:cs="Arial"/>
          <w:sz w:val="22"/>
          <w:szCs w:val="22"/>
        </w:rPr>
      </w:pPr>
      <w:r w:rsidRPr="002E4CD4">
        <w:rPr>
          <w:rFonts w:ascii="Arial" w:hAnsi="Arial" w:cs="Arial"/>
          <w:sz w:val="22"/>
          <w:szCs w:val="22"/>
        </w:rPr>
        <w:t>In order to account for existing</w:t>
      </w:r>
      <w:r w:rsidR="00F57B38">
        <w:rPr>
          <w:rFonts w:ascii="Arial" w:hAnsi="Arial" w:cs="Arial"/>
          <w:sz w:val="22"/>
          <w:szCs w:val="22"/>
        </w:rPr>
        <w:t xml:space="preserve"> (baseline)</w:t>
      </w:r>
      <w:r w:rsidRPr="002E4CD4">
        <w:rPr>
          <w:rFonts w:ascii="Arial" w:hAnsi="Arial" w:cs="Arial"/>
          <w:sz w:val="22"/>
          <w:szCs w:val="22"/>
        </w:rPr>
        <w:t xml:space="preserve"> levels of pollutants in the vicinity of </w:t>
      </w:r>
      <w:r w:rsidR="00F57B38">
        <w:rPr>
          <w:rFonts w:ascii="Arial" w:hAnsi="Arial" w:cs="Arial"/>
          <w:sz w:val="22"/>
          <w:szCs w:val="22"/>
        </w:rPr>
        <w:t>the CHP plant, baseline</w:t>
      </w:r>
      <w:r w:rsidRPr="002E4CD4">
        <w:rPr>
          <w:rFonts w:ascii="Arial" w:hAnsi="Arial" w:cs="Arial"/>
          <w:sz w:val="22"/>
          <w:szCs w:val="22"/>
        </w:rPr>
        <w:t xml:space="preserve"> </w:t>
      </w:r>
      <w:r w:rsidR="00DB4E54">
        <w:rPr>
          <w:rFonts w:ascii="Arial" w:hAnsi="Arial" w:cs="Arial"/>
          <w:sz w:val="22"/>
          <w:szCs w:val="22"/>
        </w:rPr>
        <w:t xml:space="preserve">pollutant </w:t>
      </w:r>
      <w:r w:rsidRPr="002E4CD4">
        <w:rPr>
          <w:rFonts w:ascii="Arial" w:hAnsi="Arial" w:cs="Arial"/>
          <w:sz w:val="22"/>
          <w:szCs w:val="22"/>
        </w:rPr>
        <w:t>concentrations should be added to the model</w:t>
      </w:r>
      <w:r w:rsidR="00DB4E54">
        <w:rPr>
          <w:rFonts w:ascii="Arial" w:hAnsi="Arial" w:cs="Arial"/>
          <w:sz w:val="22"/>
          <w:szCs w:val="22"/>
        </w:rPr>
        <w:t xml:space="preserve">led stack </w:t>
      </w:r>
      <w:r w:rsidR="006D52AB">
        <w:rPr>
          <w:rFonts w:ascii="Arial" w:hAnsi="Arial" w:cs="Arial"/>
          <w:sz w:val="22"/>
          <w:szCs w:val="22"/>
        </w:rPr>
        <w:t>NO</w:t>
      </w:r>
      <w:r w:rsidR="006D52AB" w:rsidRPr="00FE67A1">
        <w:rPr>
          <w:rFonts w:ascii="Arial" w:hAnsi="Arial" w:cs="Arial"/>
          <w:sz w:val="22"/>
          <w:szCs w:val="22"/>
          <w:vertAlign w:val="subscript"/>
        </w:rPr>
        <w:t>x</w:t>
      </w:r>
      <w:r w:rsidR="006D52AB">
        <w:rPr>
          <w:rFonts w:ascii="Arial" w:hAnsi="Arial" w:cs="Arial"/>
          <w:sz w:val="22"/>
          <w:szCs w:val="22"/>
        </w:rPr>
        <w:t xml:space="preserve"> contribution</w:t>
      </w:r>
      <w:r w:rsidRPr="002E4CD4">
        <w:rPr>
          <w:rFonts w:ascii="Arial" w:hAnsi="Arial" w:cs="Arial"/>
          <w:sz w:val="22"/>
          <w:szCs w:val="22"/>
        </w:rPr>
        <w:t xml:space="preserve">. </w:t>
      </w:r>
      <w:r w:rsidR="00F57B38">
        <w:rPr>
          <w:rFonts w:ascii="Arial" w:hAnsi="Arial" w:cs="Arial"/>
          <w:sz w:val="22"/>
          <w:szCs w:val="22"/>
        </w:rPr>
        <w:t xml:space="preserve">The baseline may include the existing contribution of other local sources of </w:t>
      </w:r>
      <w:r w:rsidR="00DB4E54">
        <w:rPr>
          <w:rFonts w:ascii="Arial" w:hAnsi="Arial" w:cs="Arial"/>
          <w:sz w:val="22"/>
          <w:szCs w:val="22"/>
        </w:rPr>
        <w:t>NO</w:t>
      </w:r>
      <w:r w:rsidR="00DB4E54" w:rsidRPr="00FE67A1">
        <w:rPr>
          <w:rFonts w:ascii="Arial" w:hAnsi="Arial" w:cs="Arial"/>
          <w:sz w:val="22"/>
          <w:szCs w:val="22"/>
          <w:vertAlign w:val="subscript"/>
        </w:rPr>
        <w:t>x</w:t>
      </w:r>
      <w:r w:rsidR="00F57B38">
        <w:rPr>
          <w:rFonts w:ascii="Arial" w:hAnsi="Arial" w:cs="Arial"/>
          <w:sz w:val="22"/>
          <w:szCs w:val="22"/>
        </w:rPr>
        <w:t xml:space="preserve"> (e.g. traffic) as well as the regional background.</w:t>
      </w:r>
    </w:p>
    <w:p w:rsidR="00F57B38" w:rsidRDefault="00F57B38" w:rsidP="007D457F">
      <w:pPr>
        <w:autoSpaceDE w:val="0"/>
        <w:autoSpaceDN w:val="0"/>
        <w:adjustRightInd w:val="0"/>
        <w:spacing w:after="0"/>
        <w:ind w:left="0"/>
        <w:rPr>
          <w:rFonts w:ascii="Arial" w:hAnsi="Arial" w:cs="Arial"/>
          <w:sz w:val="22"/>
          <w:szCs w:val="22"/>
        </w:rPr>
      </w:pPr>
    </w:p>
    <w:p w:rsidR="00F57B38" w:rsidRDefault="00DB4E54" w:rsidP="007D457F">
      <w:pPr>
        <w:autoSpaceDE w:val="0"/>
        <w:autoSpaceDN w:val="0"/>
        <w:adjustRightInd w:val="0"/>
        <w:spacing w:after="0"/>
        <w:ind w:left="0"/>
        <w:rPr>
          <w:rFonts w:ascii="Arial" w:hAnsi="Arial" w:cs="Arial"/>
          <w:sz w:val="22"/>
          <w:szCs w:val="22"/>
        </w:rPr>
      </w:pPr>
      <w:r>
        <w:rPr>
          <w:rFonts w:ascii="Arial" w:hAnsi="Arial" w:cs="Arial"/>
          <w:sz w:val="22"/>
          <w:szCs w:val="22"/>
        </w:rPr>
        <w:t>Background estimates of NO</w:t>
      </w:r>
      <w:r w:rsidRPr="00DB4E54">
        <w:rPr>
          <w:rFonts w:ascii="Arial" w:hAnsi="Arial" w:cs="Arial"/>
          <w:sz w:val="22"/>
          <w:szCs w:val="22"/>
          <w:vertAlign w:val="subscript"/>
        </w:rPr>
        <w:t>2</w:t>
      </w:r>
      <w:r>
        <w:rPr>
          <w:rFonts w:ascii="Arial" w:hAnsi="Arial" w:cs="Arial"/>
          <w:sz w:val="22"/>
          <w:szCs w:val="22"/>
        </w:rPr>
        <w:t xml:space="preserve"> and NO</w:t>
      </w:r>
      <w:r w:rsidRPr="00FE67A1">
        <w:rPr>
          <w:rFonts w:ascii="Arial" w:hAnsi="Arial" w:cs="Arial"/>
          <w:sz w:val="22"/>
          <w:szCs w:val="22"/>
          <w:vertAlign w:val="subscript"/>
        </w:rPr>
        <w:t>x</w:t>
      </w:r>
      <w:r>
        <w:rPr>
          <w:rFonts w:ascii="Arial" w:hAnsi="Arial" w:cs="Arial"/>
          <w:sz w:val="22"/>
          <w:szCs w:val="22"/>
        </w:rPr>
        <w:t xml:space="preserve"> can</w:t>
      </w:r>
      <w:r w:rsidR="00337573" w:rsidRPr="002E4CD4">
        <w:rPr>
          <w:rFonts w:ascii="Arial" w:hAnsi="Arial" w:cs="Arial"/>
          <w:sz w:val="22"/>
          <w:szCs w:val="22"/>
        </w:rPr>
        <w:t xml:space="preserve"> be derived </w:t>
      </w:r>
      <w:r>
        <w:rPr>
          <w:rFonts w:ascii="Arial" w:hAnsi="Arial" w:cs="Arial"/>
          <w:sz w:val="22"/>
          <w:szCs w:val="22"/>
        </w:rPr>
        <w:t xml:space="preserve">from </w:t>
      </w:r>
      <w:r w:rsidR="00337573" w:rsidRPr="002E4CD4">
        <w:rPr>
          <w:rFonts w:ascii="Arial" w:hAnsi="Arial" w:cs="Arial"/>
          <w:sz w:val="22"/>
          <w:szCs w:val="22"/>
        </w:rPr>
        <w:t xml:space="preserve">the </w:t>
      </w:r>
      <w:hyperlink r:id="rId10" w:history="1">
        <w:r w:rsidR="00FE67A1" w:rsidRPr="00FE67A1">
          <w:rPr>
            <w:rStyle w:val="Hyperlink"/>
            <w:rFonts w:ascii="Arial" w:hAnsi="Arial" w:cs="Arial"/>
            <w:sz w:val="22"/>
            <w:szCs w:val="22"/>
          </w:rPr>
          <w:t>DEFRA</w:t>
        </w:r>
        <w:r w:rsidR="00337573" w:rsidRPr="00FE67A1">
          <w:rPr>
            <w:rStyle w:val="Hyperlink"/>
            <w:rFonts w:ascii="Arial" w:hAnsi="Arial" w:cs="Arial"/>
            <w:sz w:val="22"/>
            <w:szCs w:val="22"/>
          </w:rPr>
          <w:t xml:space="preserve"> UK mapping of background con</w:t>
        </w:r>
        <w:r w:rsidR="00337573" w:rsidRPr="00FE67A1">
          <w:rPr>
            <w:rStyle w:val="Hyperlink"/>
            <w:rFonts w:ascii="Arial" w:hAnsi="Arial" w:cs="Arial"/>
            <w:sz w:val="22"/>
            <w:szCs w:val="22"/>
          </w:rPr>
          <w:t>c</w:t>
        </w:r>
        <w:r w:rsidR="00337573" w:rsidRPr="00FE67A1">
          <w:rPr>
            <w:rStyle w:val="Hyperlink"/>
            <w:rFonts w:ascii="Arial" w:hAnsi="Arial" w:cs="Arial"/>
            <w:sz w:val="22"/>
            <w:szCs w:val="22"/>
          </w:rPr>
          <w:t>entrations</w:t>
        </w:r>
      </w:hyperlink>
      <w:r w:rsidR="00337573" w:rsidRPr="002E4CD4">
        <w:rPr>
          <w:rFonts w:ascii="Arial" w:hAnsi="Arial" w:cs="Arial"/>
          <w:sz w:val="22"/>
          <w:szCs w:val="22"/>
        </w:rPr>
        <w:t xml:space="preserve"> or from l</w:t>
      </w:r>
      <w:r w:rsidR="00F57B38">
        <w:rPr>
          <w:rFonts w:ascii="Arial" w:hAnsi="Arial" w:cs="Arial"/>
          <w:sz w:val="22"/>
          <w:szCs w:val="22"/>
        </w:rPr>
        <w:t>ocal ambient monitoring data,</w:t>
      </w:r>
      <w:r w:rsidR="00337573" w:rsidRPr="002E4CD4">
        <w:rPr>
          <w:rFonts w:ascii="Arial" w:hAnsi="Arial" w:cs="Arial"/>
          <w:sz w:val="22"/>
          <w:szCs w:val="22"/>
        </w:rPr>
        <w:t xml:space="preserve"> corrected to the relevant assessment </w:t>
      </w:r>
      <w:r w:rsidR="006D52AB" w:rsidRPr="002E4CD4">
        <w:rPr>
          <w:rFonts w:ascii="Arial" w:hAnsi="Arial" w:cs="Arial"/>
          <w:sz w:val="22"/>
          <w:szCs w:val="22"/>
        </w:rPr>
        <w:t>year using</w:t>
      </w:r>
      <w:r w:rsidR="00337573" w:rsidRPr="002E4CD4">
        <w:rPr>
          <w:rFonts w:ascii="Arial" w:hAnsi="Arial" w:cs="Arial"/>
          <w:sz w:val="22"/>
          <w:szCs w:val="22"/>
        </w:rPr>
        <w:t xml:space="preserve"> the methodology outlined i</w:t>
      </w:r>
      <w:r w:rsidR="00F57B38">
        <w:rPr>
          <w:rFonts w:ascii="Arial" w:hAnsi="Arial" w:cs="Arial"/>
          <w:sz w:val="22"/>
          <w:szCs w:val="22"/>
        </w:rPr>
        <w:t xml:space="preserve">n DEFRA Technical Guidance </w:t>
      </w:r>
      <w:hyperlink r:id="rId11" w:history="1">
        <w:proofErr w:type="gramStart"/>
        <w:r w:rsidR="00F57B38" w:rsidRPr="00FE67A1">
          <w:rPr>
            <w:rStyle w:val="Hyperlink"/>
            <w:rFonts w:ascii="Arial" w:hAnsi="Arial" w:cs="Arial"/>
            <w:sz w:val="22"/>
            <w:szCs w:val="22"/>
          </w:rPr>
          <w:t>LAQM.TG</w:t>
        </w:r>
        <w:r w:rsidR="00337573" w:rsidRPr="00FE67A1">
          <w:rPr>
            <w:rStyle w:val="Hyperlink"/>
            <w:rFonts w:ascii="Arial" w:hAnsi="Arial" w:cs="Arial"/>
            <w:sz w:val="22"/>
            <w:szCs w:val="22"/>
          </w:rPr>
          <w:t>(</w:t>
        </w:r>
        <w:proofErr w:type="gramEnd"/>
        <w:r w:rsidR="00337573" w:rsidRPr="00FE67A1">
          <w:rPr>
            <w:rStyle w:val="Hyperlink"/>
            <w:rFonts w:ascii="Arial" w:hAnsi="Arial" w:cs="Arial"/>
            <w:sz w:val="22"/>
            <w:szCs w:val="22"/>
          </w:rPr>
          <w:t>0</w:t>
        </w:r>
        <w:r w:rsidR="0052213B" w:rsidRPr="00FE67A1">
          <w:rPr>
            <w:rStyle w:val="Hyperlink"/>
            <w:rFonts w:ascii="Arial" w:hAnsi="Arial" w:cs="Arial"/>
            <w:sz w:val="22"/>
            <w:szCs w:val="22"/>
          </w:rPr>
          <w:t>9</w:t>
        </w:r>
        <w:r w:rsidR="00337573" w:rsidRPr="00FE67A1">
          <w:rPr>
            <w:rStyle w:val="Hyperlink"/>
            <w:rFonts w:ascii="Arial" w:hAnsi="Arial" w:cs="Arial"/>
            <w:sz w:val="22"/>
            <w:szCs w:val="22"/>
          </w:rPr>
          <w:t>)</w:t>
        </w:r>
      </w:hyperlink>
      <w:r w:rsidR="00337573" w:rsidRPr="002E4CD4">
        <w:rPr>
          <w:rFonts w:ascii="Arial" w:hAnsi="Arial" w:cs="Arial"/>
          <w:sz w:val="22"/>
          <w:szCs w:val="22"/>
        </w:rPr>
        <w:t>.</w:t>
      </w:r>
      <w:r w:rsidR="00F57B38">
        <w:rPr>
          <w:rFonts w:ascii="Arial" w:hAnsi="Arial" w:cs="Arial"/>
          <w:sz w:val="22"/>
          <w:szCs w:val="22"/>
        </w:rPr>
        <w:t xml:space="preserve">  </w:t>
      </w:r>
    </w:p>
    <w:p w:rsidR="00F57B38" w:rsidRDefault="00F57B38" w:rsidP="007D457F">
      <w:pPr>
        <w:autoSpaceDE w:val="0"/>
        <w:autoSpaceDN w:val="0"/>
        <w:adjustRightInd w:val="0"/>
        <w:spacing w:after="0"/>
        <w:ind w:left="283"/>
        <w:rPr>
          <w:rFonts w:ascii="Arial" w:hAnsi="Arial" w:cs="Arial"/>
          <w:sz w:val="22"/>
          <w:szCs w:val="22"/>
        </w:rPr>
      </w:pPr>
    </w:p>
    <w:p w:rsidR="00337573" w:rsidRPr="002E4CD4" w:rsidRDefault="00F57B38" w:rsidP="007D457F">
      <w:pPr>
        <w:autoSpaceDE w:val="0"/>
        <w:autoSpaceDN w:val="0"/>
        <w:adjustRightInd w:val="0"/>
        <w:spacing w:after="0"/>
        <w:ind w:left="0"/>
        <w:rPr>
          <w:rFonts w:ascii="Arial" w:hAnsi="Arial" w:cs="Arial"/>
          <w:sz w:val="22"/>
          <w:szCs w:val="22"/>
        </w:rPr>
      </w:pPr>
      <w:r>
        <w:rPr>
          <w:rFonts w:ascii="Arial" w:hAnsi="Arial" w:cs="Arial"/>
          <w:sz w:val="22"/>
          <w:szCs w:val="22"/>
        </w:rPr>
        <w:t>Care must be taken to give careful consideration of the combined impact of the CHP stack emissions with road traffic emissions in the vicinity of busy roads; the latter can dominate the baseline at certain urban locations.</w:t>
      </w:r>
    </w:p>
    <w:p w:rsidR="00337573" w:rsidRPr="002E4CD4" w:rsidRDefault="00337573" w:rsidP="007D457F">
      <w:pPr>
        <w:spacing w:after="0"/>
        <w:ind w:left="283"/>
        <w:rPr>
          <w:rFonts w:ascii="Arial" w:hAnsi="Arial" w:cs="Arial"/>
          <w:sz w:val="22"/>
          <w:szCs w:val="22"/>
        </w:rPr>
      </w:pPr>
    </w:p>
    <w:p w:rsidR="006D52AB" w:rsidRDefault="00F57B38" w:rsidP="007D457F">
      <w:pPr>
        <w:spacing w:after="0"/>
        <w:ind w:left="0"/>
        <w:rPr>
          <w:rFonts w:ascii="Arial" w:hAnsi="Arial" w:cs="Arial"/>
          <w:sz w:val="22"/>
          <w:szCs w:val="22"/>
        </w:rPr>
      </w:pPr>
      <w:r w:rsidRPr="002E4CD4">
        <w:rPr>
          <w:rFonts w:ascii="Arial" w:hAnsi="Arial" w:cs="Arial"/>
          <w:sz w:val="22"/>
          <w:szCs w:val="22"/>
        </w:rPr>
        <w:t>All assumptions regarding background</w:t>
      </w:r>
      <w:r>
        <w:rPr>
          <w:rFonts w:ascii="Arial" w:hAnsi="Arial" w:cs="Arial"/>
          <w:sz w:val="22"/>
          <w:szCs w:val="22"/>
        </w:rPr>
        <w:t xml:space="preserve"> and baseline</w:t>
      </w:r>
      <w:r w:rsidRPr="002E4CD4">
        <w:rPr>
          <w:rFonts w:ascii="Arial" w:hAnsi="Arial" w:cs="Arial"/>
          <w:sz w:val="22"/>
          <w:szCs w:val="22"/>
        </w:rPr>
        <w:t xml:space="preserve"> concentrations</w:t>
      </w:r>
      <w:r w:rsidR="00DB4E54">
        <w:rPr>
          <w:rFonts w:ascii="Arial" w:hAnsi="Arial" w:cs="Arial"/>
          <w:sz w:val="22"/>
          <w:szCs w:val="22"/>
        </w:rPr>
        <w:t xml:space="preserve"> of NO</w:t>
      </w:r>
      <w:r w:rsidR="00DB4E54" w:rsidRPr="00DB4E54">
        <w:rPr>
          <w:rFonts w:ascii="Arial" w:hAnsi="Arial" w:cs="Arial"/>
          <w:sz w:val="22"/>
          <w:szCs w:val="22"/>
          <w:vertAlign w:val="subscript"/>
        </w:rPr>
        <w:t>2</w:t>
      </w:r>
      <w:r w:rsidR="00DB4E54">
        <w:rPr>
          <w:rFonts w:ascii="Arial" w:hAnsi="Arial" w:cs="Arial"/>
          <w:sz w:val="22"/>
          <w:szCs w:val="22"/>
        </w:rPr>
        <w:t xml:space="preserve"> and NO</w:t>
      </w:r>
      <w:r w:rsidR="00DB4E54" w:rsidRPr="006D52AB">
        <w:rPr>
          <w:rFonts w:ascii="Arial" w:hAnsi="Arial" w:cs="Arial"/>
          <w:sz w:val="22"/>
          <w:szCs w:val="22"/>
          <w:vertAlign w:val="subscript"/>
        </w:rPr>
        <w:t>x</w:t>
      </w:r>
      <w:r>
        <w:rPr>
          <w:rFonts w:ascii="Arial" w:hAnsi="Arial" w:cs="Arial"/>
          <w:sz w:val="22"/>
          <w:szCs w:val="22"/>
        </w:rPr>
        <w:t xml:space="preserve">, and how they are combined with the modelled CHP stack </w:t>
      </w:r>
      <w:r w:rsidR="00DB4E54">
        <w:rPr>
          <w:rFonts w:ascii="Arial" w:hAnsi="Arial" w:cs="Arial"/>
          <w:sz w:val="22"/>
          <w:szCs w:val="22"/>
        </w:rPr>
        <w:t>NO</w:t>
      </w:r>
      <w:r w:rsidR="00DB4E54" w:rsidRPr="006D52AB">
        <w:rPr>
          <w:rFonts w:ascii="Arial" w:hAnsi="Arial" w:cs="Arial"/>
          <w:sz w:val="22"/>
          <w:szCs w:val="22"/>
          <w:vertAlign w:val="subscript"/>
        </w:rPr>
        <w:t>x</w:t>
      </w:r>
      <w:r w:rsidR="00DB4E54">
        <w:rPr>
          <w:rFonts w:ascii="Arial" w:hAnsi="Arial" w:cs="Arial"/>
          <w:sz w:val="22"/>
          <w:szCs w:val="22"/>
        </w:rPr>
        <w:t xml:space="preserve"> </w:t>
      </w:r>
      <w:r>
        <w:rPr>
          <w:rFonts w:ascii="Arial" w:hAnsi="Arial" w:cs="Arial"/>
          <w:sz w:val="22"/>
          <w:szCs w:val="22"/>
        </w:rPr>
        <w:t>contribution, should be reported</w:t>
      </w:r>
      <w:r w:rsidRPr="002E4CD4">
        <w:rPr>
          <w:rFonts w:ascii="Arial" w:hAnsi="Arial" w:cs="Arial"/>
          <w:sz w:val="22"/>
          <w:szCs w:val="22"/>
        </w:rPr>
        <w:t xml:space="preserve"> in order to provide a fully transp</w:t>
      </w:r>
      <w:r w:rsidR="00FE67A1">
        <w:rPr>
          <w:rFonts w:ascii="Arial" w:hAnsi="Arial" w:cs="Arial"/>
          <w:sz w:val="22"/>
          <w:szCs w:val="22"/>
        </w:rPr>
        <w:t xml:space="preserve">arent modelling assessment. </w:t>
      </w:r>
      <w:r w:rsidR="00DB4E54">
        <w:rPr>
          <w:rFonts w:ascii="Arial" w:hAnsi="Arial" w:cs="Arial"/>
          <w:sz w:val="22"/>
          <w:szCs w:val="22"/>
        </w:rPr>
        <w:t>Guidance on the different methods for combining background and source-</w:t>
      </w:r>
      <w:r w:rsidR="006D52AB">
        <w:rPr>
          <w:rFonts w:ascii="Arial" w:hAnsi="Arial" w:cs="Arial"/>
          <w:sz w:val="22"/>
          <w:szCs w:val="22"/>
        </w:rPr>
        <w:t>modelled NO</w:t>
      </w:r>
      <w:r w:rsidR="006D52AB" w:rsidRPr="00FE67A1">
        <w:rPr>
          <w:rFonts w:ascii="Arial" w:hAnsi="Arial" w:cs="Arial"/>
          <w:sz w:val="22"/>
          <w:szCs w:val="22"/>
          <w:vertAlign w:val="subscript"/>
        </w:rPr>
        <w:t>x</w:t>
      </w:r>
      <w:r w:rsidR="00DB4E54">
        <w:rPr>
          <w:rFonts w:ascii="Arial" w:hAnsi="Arial" w:cs="Arial"/>
          <w:sz w:val="22"/>
          <w:szCs w:val="22"/>
        </w:rPr>
        <w:t xml:space="preserve"> and NO</w:t>
      </w:r>
      <w:r w:rsidR="00DB4E54" w:rsidRPr="006D52AB">
        <w:rPr>
          <w:rFonts w:ascii="Arial" w:hAnsi="Arial" w:cs="Arial"/>
          <w:sz w:val="22"/>
          <w:szCs w:val="22"/>
          <w:vertAlign w:val="subscript"/>
        </w:rPr>
        <w:t>2</w:t>
      </w:r>
      <w:r w:rsidR="00DB4E54">
        <w:rPr>
          <w:rFonts w:ascii="Arial" w:hAnsi="Arial" w:cs="Arial"/>
          <w:sz w:val="22"/>
          <w:szCs w:val="22"/>
        </w:rPr>
        <w:t xml:space="preserve"> for short-</w:t>
      </w:r>
      <w:r w:rsidR="006D52AB">
        <w:rPr>
          <w:rFonts w:ascii="Arial" w:hAnsi="Arial" w:cs="Arial"/>
          <w:sz w:val="22"/>
          <w:szCs w:val="22"/>
        </w:rPr>
        <w:t>term and</w:t>
      </w:r>
      <w:r w:rsidR="00FE67A1">
        <w:rPr>
          <w:rFonts w:ascii="Arial" w:hAnsi="Arial" w:cs="Arial"/>
          <w:sz w:val="22"/>
          <w:szCs w:val="22"/>
        </w:rPr>
        <w:t xml:space="preserve"> long-term concentrations </w:t>
      </w:r>
      <w:r w:rsidR="00DB4E54">
        <w:rPr>
          <w:rFonts w:ascii="Arial" w:hAnsi="Arial" w:cs="Arial"/>
          <w:sz w:val="22"/>
          <w:szCs w:val="22"/>
        </w:rPr>
        <w:t xml:space="preserve">may </w:t>
      </w:r>
      <w:r w:rsidR="00B966DC">
        <w:rPr>
          <w:rFonts w:ascii="Arial" w:hAnsi="Arial" w:cs="Arial"/>
          <w:sz w:val="22"/>
          <w:szCs w:val="22"/>
        </w:rPr>
        <w:t xml:space="preserve">be found in Technical Guidance </w:t>
      </w:r>
      <w:proofErr w:type="gramStart"/>
      <w:r w:rsidR="00DB4E54">
        <w:rPr>
          <w:rFonts w:ascii="Arial" w:hAnsi="Arial" w:cs="Arial"/>
          <w:sz w:val="22"/>
          <w:szCs w:val="22"/>
        </w:rPr>
        <w:t>LAQM.TG(</w:t>
      </w:r>
      <w:proofErr w:type="gramEnd"/>
      <w:r w:rsidR="00DB4E54">
        <w:rPr>
          <w:rFonts w:ascii="Arial" w:hAnsi="Arial" w:cs="Arial"/>
          <w:sz w:val="22"/>
          <w:szCs w:val="22"/>
        </w:rPr>
        <w:t xml:space="preserve">09).  </w:t>
      </w:r>
    </w:p>
    <w:p w:rsidR="006D52AB" w:rsidRDefault="006D52AB" w:rsidP="007D457F">
      <w:pPr>
        <w:spacing w:after="0"/>
        <w:ind w:left="0"/>
        <w:rPr>
          <w:rFonts w:ascii="Arial" w:hAnsi="Arial" w:cs="Arial"/>
          <w:sz w:val="22"/>
          <w:szCs w:val="22"/>
        </w:rPr>
      </w:pPr>
    </w:p>
    <w:p w:rsidR="00337573" w:rsidRPr="002E4CD4" w:rsidRDefault="00337573" w:rsidP="007D457F">
      <w:pPr>
        <w:spacing w:after="0"/>
        <w:ind w:left="0"/>
        <w:rPr>
          <w:rFonts w:ascii="Arial" w:hAnsi="Arial" w:cs="Arial"/>
          <w:sz w:val="22"/>
          <w:szCs w:val="22"/>
        </w:rPr>
      </w:pPr>
      <w:r w:rsidRPr="002E4CD4">
        <w:rPr>
          <w:rFonts w:ascii="Arial" w:hAnsi="Arial" w:cs="Arial"/>
          <w:sz w:val="22"/>
          <w:szCs w:val="22"/>
        </w:rPr>
        <w:t xml:space="preserve">The methodology used </w:t>
      </w:r>
      <w:r w:rsidR="00F57B38">
        <w:rPr>
          <w:rFonts w:ascii="Arial" w:hAnsi="Arial" w:cs="Arial"/>
          <w:sz w:val="22"/>
          <w:szCs w:val="22"/>
        </w:rPr>
        <w:t xml:space="preserve">to account for </w:t>
      </w:r>
      <w:r w:rsidR="00DB4E54">
        <w:rPr>
          <w:rFonts w:ascii="Arial" w:hAnsi="Arial" w:cs="Arial"/>
          <w:sz w:val="22"/>
          <w:szCs w:val="22"/>
        </w:rPr>
        <w:t xml:space="preserve">the </w:t>
      </w:r>
      <w:r w:rsidR="00F57B38">
        <w:rPr>
          <w:rFonts w:ascii="Arial" w:hAnsi="Arial" w:cs="Arial"/>
          <w:sz w:val="22"/>
          <w:szCs w:val="22"/>
        </w:rPr>
        <w:t>NO</w:t>
      </w:r>
      <w:r w:rsidR="00F57B38" w:rsidRPr="006D52AB">
        <w:rPr>
          <w:rFonts w:ascii="Arial" w:hAnsi="Arial" w:cs="Arial"/>
          <w:sz w:val="22"/>
          <w:szCs w:val="22"/>
          <w:vertAlign w:val="subscript"/>
        </w:rPr>
        <w:t>x</w:t>
      </w:r>
      <w:r w:rsidR="00F57B38">
        <w:rPr>
          <w:rFonts w:ascii="Arial" w:hAnsi="Arial" w:cs="Arial"/>
          <w:sz w:val="22"/>
          <w:szCs w:val="22"/>
        </w:rPr>
        <w:t xml:space="preserve"> to NO</w:t>
      </w:r>
      <w:r w:rsidR="00F57B38" w:rsidRPr="00676344">
        <w:rPr>
          <w:rFonts w:ascii="Arial" w:hAnsi="Arial" w:cs="Arial"/>
          <w:sz w:val="22"/>
          <w:szCs w:val="22"/>
          <w:vertAlign w:val="subscript"/>
        </w:rPr>
        <w:t>2</w:t>
      </w:r>
      <w:r w:rsidR="00F57B38">
        <w:rPr>
          <w:rFonts w:ascii="Arial" w:hAnsi="Arial" w:cs="Arial"/>
          <w:sz w:val="22"/>
          <w:szCs w:val="22"/>
        </w:rPr>
        <w:t xml:space="preserve"> atmospheric conversion</w:t>
      </w:r>
      <w:r w:rsidRPr="002E4CD4">
        <w:rPr>
          <w:rFonts w:ascii="Arial" w:hAnsi="Arial" w:cs="Arial"/>
          <w:sz w:val="22"/>
          <w:szCs w:val="22"/>
        </w:rPr>
        <w:t xml:space="preserve"> should be included in the report</w:t>
      </w:r>
      <w:r w:rsidR="00DB4E54">
        <w:rPr>
          <w:rFonts w:ascii="Arial" w:hAnsi="Arial" w:cs="Arial"/>
          <w:sz w:val="22"/>
          <w:szCs w:val="22"/>
        </w:rPr>
        <w:t xml:space="preserve"> with</w:t>
      </w:r>
      <w:r w:rsidR="00F57B38">
        <w:rPr>
          <w:rFonts w:ascii="Arial" w:hAnsi="Arial" w:cs="Arial"/>
          <w:sz w:val="22"/>
          <w:szCs w:val="22"/>
        </w:rPr>
        <w:t xml:space="preserve"> justification</w:t>
      </w:r>
      <w:r w:rsidR="00DB4E54">
        <w:rPr>
          <w:rFonts w:ascii="Arial" w:hAnsi="Arial" w:cs="Arial"/>
          <w:sz w:val="22"/>
          <w:szCs w:val="22"/>
        </w:rPr>
        <w:t xml:space="preserve">/references </w:t>
      </w:r>
      <w:r w:rsidR="00F57B38">
        <w:rPr>
          <w:rFonts w:ascii="Arial" w:hAnsi="Arial" w:cs="Arial"/>
          <w:sz w:val="22"/>
          <w:szCs w:val="22"/>
        </w:rPr>
        <w:t>for any assumptions employed</w:t>
      </w:r>
      <w:r w:rsidRPr="002E4CD4">
        <w:rPr>
          <w:rFonts w:ascii="Arial" w:hAnsi="Arial" w:cs="Arial"/>
          <w:sz w:val="22"/>
          <w:szCs w:val="22"/>
        </w:rPr>
        <w:t xml:space="preserve">. </w:t>
      </w:r>
    </w:p>
    <w:p w:rsidR="00FE67A1" w:rsidRDefault="00337573" w:rsidP="007D457F">
      <w:pPr>
        <w:pStyle w:val="Heading2"/>
        <w:numPr>
          <w:ilvl w:val="0"/>
          <w:numId w:val="0"/>
        </w:numPr>
        <w:spacing w:before="0" w:after="0"/>
        <w:ind w:left="283" w:hanging="567"/>
        <w:rPr>
          <w:rFonts w:ascii="Arial" w:hAnsi="Arial" w:cs="Arial"/>
          <w:sz w:val="22"/>
          <w:szCs w:val="22"/>
        </w:rPr>
      </w:pPr>
      <w:r w:rsidRPr="002E4CD4">
        <w:rPr>
          <w:rFonts w:ascii="Arial" w:hAnsi="Arial" w:cs="Arial"/>
          <w:sz w:val="22"/>
          <w:szCs w:val="22"/>
        </w:rPr>
        <w:t xml:space="preserve"> </w:t>
      </w:r>
    </w:p>
    <w:p w:rsidR="006D52AB" w:rsidRDefault="00337573" w:rsidP="007D457F">
      <w:pPr>
        <w:pStyle w:val="Heading2"/>
        <w:numPr>
          <w:ilvl w:val="0"/>
          <w:numId w:val="0"/>
        </w:numPr>
        <w:spacing w:before="0" w:after="0"/>
        <w:ind w:left="283" w:hanging="567"/>
        <w:rPr>
          <w:rFonts w:ascii="Arial" w:hAnsi="Arial" w:cs="Arial"/>
          <w:sz w:val="22"/>
          <w:szCs w:val="22"/>
        </w:rPr>
      </w:pPr>
      <w:r w:rsidRPr="002E4CD4">
        <w:rPr>
          <w:rFonts w:ascii="Arial" w:hAnsi="Arial" w:cs="Arial"/>
          <w:sz w:val="22"/>
          <w:szCs w:val="22"/>
        </w:rPr>
        <w:t xml:space="preserve">        </w:t>
      </w:r>
    </w:p>
    <w:p w:rsidR="00337573" w:rsidRPr="006D52AB" w:rsidRDefault="00337573" w:rsidP="007D457F">
      <w:pPr>
        <w:pStyle w:val="Heading2"/>
        <w:numPr>
          <w:ilvl w:val="0"/>
          <w:numId w:val="0"/>
        </w:numPr>
        <w:spacing w:before="0" w:after="0"/>
        <w:ind w:left="567" w:hanging="567"/>
        <w:rPr>
          <w:rFonts w:ascii="Arial" w:hAnsi="Arial" w:cs="Arial"/>
          <w:sz w:val="22"/>
          <w:szCs w:val="22"/>
        </w:rPr>
      </w:pPr>
      <w:r w:rsidRPr="006D52AB">
        <w:rPr>
          <w:rFonts w:ascii="Arial" w:hAnsi="Arial" w:cs="Arial"/>
          <w:sz w:val="22"/>
          <w:szCs w:val="22"/>
        </w:rPr>
        <w:t>Predicted Concentrations</w:t>
      </w:r>
    </w:p>
    <w:p w:rsidR="00337573" w:rsidRDefault="00DB4E54" w:rsidP="007D457F">
      <w:pPr>
        <w:spacing w:after="0"/>
        <w:ind w:left="0"/>
        <w:rPr>
          <w:rFonts w:ascii="Arial" w:hAnsi="Arial" w:cs="Arial"/>
          <w:sz w:val="22"/>
          <w:szCs w:val="22"/>
        </w:rPr>
      </w:pPr>
      <w:r>
        <w:rPr>
          <w:rFonts w:ascii="Arial" w:hAnsi="Arial" w:cs="Arial"/>
          <w:sz w:val="22"/>
          <w:szCs w:val="22"/>
        </w:rPr>
        <w:t>Ambient NO</w:t>
      </w:r>
      <w:r w:rsidRPr="006D52AB">
        <w:rPr>
          <w:rFonts w:ascii="Arial" w:hAnsi="Arial" w:cs="Arial"/>
          <w:sz w:val="22"/>
          <w:szCs w:val="22"/>
          <w:vertAlign w:val="subscript"/>
        </w:rPr>
        <w:t>x</w:t>
      </w:r>
      <w:r w:rsidR="00337573" w:rsidRPr="002E4CD4">
        <w:rPr>
          <w:rFonts w:ascii="Arial" w:hAnsi="Arial" w:cs="Arial"/>
          <w:sz w:val="22"/>
          <w:szCs w:val="22"/>
        </w:rPr>
        <w:t xml:space="preserve"> </w:t>
      </w:r>
      <w:r>
        <w:rPr>
          <w:rFonts w:ascii="Arial" w:hAnsi="Arial" w:cs="Arial"/>
          <w:sz w:val="22"/>
          <w:szCs w:val="22"/>
        </w:rPr>
        <w:t xml:space="preserve">contributed by the CHP stack </w:t>
      </w:r>
      <w:r w:rsidR="00337573" w:rsidRPr="002E4CD4">
        <w:rPr>
          <w:rFonts w:ascii="Arial" w:hAnsi="Arial" w:cs="Arial"/>
          <w:sz w:val="22"/>
          <w:szCs w:val="22"/>
        </w:rPr>
        <w:t xml:space="preserve">should be predicted for </w:t>
      </w:r>
      <w:r>
        <w:rPr>
          <w:rFonts w:ascii="Arial" w:hAnsi="Arial" w:cs="Arial"/>
          <w:sz w:val="22"/>
          <w:szCs w:val="22"/>
        </w:rPr>
        <w:t xml:space="preserve">the </w:t>
      </w:r>
      <w:r w:rsidR="00337573" w:rsidRPr="002E4CD4">
        <w:rPr>
          <w:rFonts w:ascii="Arial" w:hAnsi="Arial" w:cs="Arial"/>
          <w:sz w:val="22"/>
          <w:szCs w:val="22"/>
        </w:rPr>
        <w:t>relevant averaging periods over a regularly-spac</w:t>
      </w:r>
      <w:r>
        <w:rPr>
          <w:rFonts w:ascii="Arial" w:hAnsi="Arial" w:cs="Arial"/>
          <w:sz w:val="22"/>
          <w:szCs w:val="22"/>
        </w:rPr>
        <w:t>ed receptor grid. A grid size extending over a</w:t>
      </w:r>
      <w:r w:rsidR="00337573" w:rsidRPr="002E4CD4">
        <w:rPr>
          <w:rFonts w:ascii="Arial" w:hAnsi="Arial" w:cs="Arial"/>
          <w:sz w:val="22"/>
          <w:szCs w:val="22"/>
        </w:rPr>
        <w:t xml:space="preserve"> 3 km radius from the site should be employed at a receptor spacing of 5 m.  This fine grid spacing should enable the general pattern of ground level impacts to be mapped using concentration contours.  Maps illustrating the </w:t>
      </w:r>
      <w:r>
        <w:rPr>
          <w:rFonts w:ascii="Arial" w:hAnsi="Arial" w:cs="Arial"/>
          <w:sz w:val="22"/>
          <w:szCs w:val="22"/>
        </w:rPr>
        <w:t xml:space="preserve">contours </w:t>
      </w:r>
      <w:r w:rsidR="00337573" w:rsidRPr="002E4CD4">
        <w:rPr>
          <w:rFonts w:ascii="Arial" w:hAnsi="Arial" w:cs="Arial"/>
          <w:sz w:val="22"/>
          <w:szCs w:val="22"/>
        </w:rPr>
        <w:t xml:space="preserve">should be presented in the report. </w:t>
      </w:r>
    </w:p>
    <w:p w:rsidR="006D52AB" w:rsidRDefault="006D52AB" w:rsidP="007D457F">
      <w:pPr>
        <w:spacing w:after="0"/>
        <w:ind w:left="0"/>
        <w:rPr>
          <w:rFonts w:ascii="Arial" w:hAnsi="Arial" w:cs="Arial"/>
          <w:sz w:val="22"/>
          <w:szCs w:val="22"/>
        </w:rPr>
      </w:pPr>
    </w:p>
    <w:p w:rsidR="00337573" w:rsidRPr="002E4CD4" w:rsidRDefault="00337573" w:rsidP="007D457F">
      <w:pPr>
        <w:spacing w:after="0"/>
        <w:ind w:left="0"/>
        <w:rPr>
          <w:rFonts w:ascii="Arial" w:hAnsi="Arial" w:cs="Arial"/>
          <w:sz w:val="22"/>
          <w:szCs w:val="22"/>
        </w:rPr>
      </w:pPr>
      <w:r w:rsidRPr="002E4CD4">
        <w:rPr>
          <w:rFonts w:ascii="Arial" w:hAnsi="Arial" w:cs="Arial"/>
          <w:sz w:val="22"/>
          <w:szCs w:val="22"/>
        </w:rPr>
        <w:t xml:space="preserve">In addition, a minimum of 15 specific receptors should be used to provide predicted concentrations at sensitive locations in the area surrounding the CHP and the immediate vicinity of the plant.  These receptors should include residential properties, schools, playground and outdoor leisure areas. Maps showing the predicted concentrations for each pollutant at specific receptor locations should be included. </w:t>
      </w:r>
    </w:p>
    <w:p w:rsidR="006D52AB" w:rsidRDefault="006D52AB" w:rsidP="007D457F">
      <w:pPr>
        <w:spacing w:after="0"/>
        <w:ind w:left="0"/>
        <w:rPr>
          <w:rFonts w:ascii="Arial" w:hAnsi="Arial" w:cs="Arial"/>
          <w:sz w:val="22"/>
          <w:szCs w:val="22"/>
        </w:rPr>
      </w:pPr>
    </w:p>
    <w:p w:rsidR="00337573" w:rsidRPr="002E4CD4" w:rsidRDefault="00337573" w:rsidP="007D457F">
      <w:pPr>
        <w:spacing w:after="0"/>
        <w:ind w:left="0"/>
        <w:rPr>
          <w:rFonts w:ascii="Arial" w:hAnsi="Arial" w:cs="Arial"/>
          <w:sz w:val="22"/>
          <w:szCs w:val="22"/>
        </w:rPr>
      </w:pPr>
      <w:r w:rsidRPr="002E4CD4">
        <w:rPr>
          <w:rFonts w:ascii="Arial" w:hAnsi="Arial" w:cs="Arial"/>
          <w:sz w:val="22"/>
          <w:szCs w:val="22"/>
        </w:rPr>
        <w:t xml:space="preserve">The predicted results for specific receptors should be tabulated, </w:t>
      </w:r>
      <w:r w:rsidR="00DB4E54">
        <w:rPr>
          <w:rFonts w:ascii="Arial" w:hAnsi="Arial" w:cs="Arial"/>
          <w:sz w:val="22"/>
          <w:szCs w:val="22"/>
        </w:rPr>
        <w:t xml:space="preserve">and </w:t>
      </w:r>
      <w:r w:rsidRPr="002E4CD4">
        <w:rPr>
          <w:rFonts w:ascii="Arial" w:hAnsi="Arial" w:cs="Arial"/>
          <w:sz w:val="22"/>
          <w:szCs w:val="22"/>
        </w:rPr>
        <w:t xml:space="preserve">this should include </w:t>
      </w:r>
      <w:r w:rsidR="00DB4E54">
        <w:rPr>
          <w:rFonts w:ascii="Arial" w:hAnsi="Arial" w:cs="Arial"/>
          <w:sz w:val="22"/>
          <w:szCs w:val="22"/>
        </w:rPr>
        <w:t xml:space="preserve">the </w:t>
      </w:r>
      <w:r w:rsidRPr="002E4CD4">
        <w:rPr>
          <w:rFonts w:ascii="Arial" w:hAnsi="Arial" w:cs="Arial"/>
          <w:sz w:val="22"/>
          <w:szCs w:val="22"/>
        </w:rPr>
        <w:t>location of the receptor and distance from the stack. T</w:t>
      </w:r>
      <w:r w:rsidR="006E7334">
        <w:rPr>
          <w:rFonts w:ascii="Arial" w:hAnsi="Arial" w:cs="Arial"/>
          <w:sz w:val="22"/>
          <w:szCs w:val="22"/>
        </w:rPr>
        <w:t xml:space="preserve">he location and grid reference </w:t>
      </w:r>
      <w:r w:rsidRPr="002E4CD4">
        <w:rPr>
          <w:rFonts w:ascii="Arial" w:hAnsi="Arial" w:cs="Arial"/>
          <w:sz w:val="22"/>
          <w:szCs w:val="22"/>
        </w:rPr>
        <w:t>f</w:t>
      </w:r>
      <w:r w:rsidR="006E7334">
        <w:rPr>
          <w:rFonts w:ascii="Arial" w:hAnsi="Arial" w:cs="Arial"/>
          <w:sz w:val="22"/>
          <w:szCs w:val="22"/>
        </w:rPr>
        <w:t xml:space="preserve">or the point of </w:t>
      </w:r>
      <w:r w:rsidRPr="002E4CD4">
        <w:rPr>
          <w:rFonts w:ascii="Arial" w:hAnsi="Arial" w:cs="Arial"/>
          <w:sz w:val="22"/>
          <w:szCs w:val="22"/>
        </w:rPr>
        <w:t xml:space="preserve">maximum </w:t>
      </w:r>
      <w:r w:rsidR="006E7334">
        <w:rPr>
          <w:rFonts w:ascii="Arial" w:hAnsi="Arial" w:cs="Arial"/>
          <w:sz w:val="22"/>
          <w:szCs w:val="22"/>
        </w:rPr>
        <w:t>impact</w:t>
      </w:r>
      <w:r w:rsidRPr="002E4CD4">
        <w:rPr>
          <w:rFonts w:ascii="Arial" w:hAnsi="Arial" w:cs="Arial"/>
          <w:sz w:val="22"/>
          <w:szCs w:val="22"/>
        </w:rPr>
        <w:t xml:space="preserve"> should also be identified.</w:t>
      </w:r>
    </w:p>
    <w:p w:rsidR="006D52AB" w:rsidRDefault="006D52AB" w:rsidP="007D457F">
      <w:pPr>
        <w:spacing w:after="0"/>
        <w:ind w:left="0"/>
        <w:rPr>
          <w:rFonts w:ascii="Arial" w:hAnsi="Arial" w:cs="Arial"/>
          <w:sz w:val="22"/>
          <w:szCs w:val="22"/>
        </w:rPr>
      </w:pPr>
    </w:p>
    <w:p w:rsidR="00337573" w:rsidRDefault="006E7334" w:rsidP="007D457F">
      <w:pPr>
        <w:spacing w:after="0"/>
        <w:ind w:left="0"/>
        <w:rPr>
          <w:rFonts w:ascii="Arial" w:hAnsi="Arial" w:cs="Arial"/>
          <w:sz w:val="22"/>
          <w:szCs w:val="22"/>
        </w:rPr>
      </w:pPr>
      <w:r w:rsidRPr="002E4CD4">
        <w:rPr>
          <w:rFonts w:ascii="Arial" w:hAnsi="Arial" w:cs="Arial"/>
          <w:sz w:val="22"/>
          <w:szCs w:val="22"/>
        </w:rPr>
        <w:t>A full discussion of model</w:t>
      </w:r>
      <w:r w:rsidR="006D52AB">
        <w:rPr>
          <w:rFonts w:ascii="Arial" w:hAnsi="Arial" w:cs="Arial"/>
          <w:sz w:val="22"/>
          <w:szCs w:val="22"/>
        </w:rPr>
        <w:t>ling u</w:t>
      </w:r>
      <w:r>
        <w:rPr>
          <w:rFonts w:ascii="Arial" w:hAnsi="Arial" w:cs="Arial"/>
          <w:sz w:val="22"/>
          <w:szCs w:val="22"/>
        </w:rPr>
        <w:t xml:space="preserve">ncertainty and sensitivity to key input parameters </w:t>
      </w:r>
      <w:r w:rsidRPr="002E4CD4">
        <w:rPr>
          <w:rFonts w:ascii="Arial" w:hAnsi="Arial" w:cs="Arial"/>
          <w:sz w:val="22"/>
          <w:szCs w:val="22"/>
        </w:rPr>
        <w:t>should be included</w:t>
      </w:r>
      <w:r>
        <w:rPr>
          <w:rFonts w:ascii="Arial" w:hAnsi="Arial" w:cs="Arial"/>
          <w:sz w:val="22"/>
          <w:szCs w:val="22"/>
        </w:rPr>
        <w:t xml:space="preserve">.   </w:t>
      </w:r>
    </w:p>
    <w:p w:rsidR="006D52AB" w:rsidRDefault="006D52AB" w:rsidP="007D457F">
      <w:pPr>
        <w:spacing w:after="0"/>
        <w:ind w:left="0"/>
        <w:rPr>
          <w:rFonts w:ascii="Arial" w:hAnsi="Arial" w:cs="Arial"/>
          <w:sz w:val="22"/>
          <w:szCs w:val="22"/>
        </w:rPr>
      </w:pPr>
    </w:p>
    <w:p w:rsidR="00FE67A1" w:rsidRDefault="00FE67A1" w:rsidP="007D457F">
      <w:pPr>
        <w:spacing w:after="0"/>
        <w:ind w:left="0"/>
        <w:rPr>
          <w:rFonts w:ascii="Arial" w:hAnsi="Arial" w:cs="Arial"/>
          <w:sz w:val="22"/>
          <w:szCs w:val="22"/>
        </w:rPr>
      </w:pPr>
    </w:p>
    <w:p w:rsidR="006D52AB" w:rsidRPr="006D52AB" w:rsidRDefault="006D52AB" w:rsidP="007D457F">
      <w:pPr>
        <w:spacing w:after="0"/>
        <w:ind w:left="0"/>
        <w:rPr>
          <w:rFonts w:ascii="Arial" w:hAnsi="Arial" w:cs="Arial"/>
          <w:b/>
          <w:sz w:val="32"/>
          <w:szCs w:val="32"/>
        </w:rPr>
      </w:pPr>
      <w:r w:rsidRPr="006D52AB">
        <w:rPr>
          <w:rFonts w:ascii="Arial" w:hAnsi="Arial" w:cs="Arial"/>
          <w:b/>
          <w:sz w:val="32"/>
          <w:szCs w:val="32"/>
        </w:rPr>
        <w:lastRenderedPageBreak/>
        <w:t xml:space="preserve">Notes on This Procedure </w:t>
      </w:r>
    </w:p>
    <w:p w:rsidR="006D52AB" w:rsidRPr="006D52AB" w:rsidRDefault="006D52AB" w:rsidP="007D457F">
      <w:pPr>
        <w:spacing w:after="0"/>
        <w:ind w:left="0"/>
        <w:rPr>
          <w:rFonts w:ascii="Arial" w:hAnsi="Arial" w:cs="Arial"/>
          <w:sz w:val="22"/>
          <w:szCs w:val="22"/>
        </w:rPr>
      </w:pPr>
      <w:r>
        <w:rPr>
          <w:rFonts w:ascii="Arial" w:hAnsi="Arial" w:cs="Arial"/>
          <w:sz w:val="22"/>
          <w:szCs w:val="22"/>
        </w:rPr>
        <w:t>This procedure</w:t>
      </w:r>
      <w:r w:rsidRPr="006D52AB">
        <w:rPr>
          <w:rFonts w:ascii="Arial" w:hAnsi="Arial" w:cs="Arial"/>
          <w:sz w:val="22"/>
          <w:szCs w:val="22"/>
        </w:rPr>
        <w:t xml:space="preserve"> was prepared as part of the </w:t>
      </w:r>
      <w:r>
        <w:rPr>
          <w:rFonts w:ascii="Arial" w:hAnsi="Arial" w:cs="Arial"/>
          <w:sz w:val="22"/>
          <w:szCs w:val="22"/>
        </w:rPr>
        <w:t xml:space="preserve">Environmental Protection UK </w:t>
      </w:r>
      <w:r w:rsidRPr="006D52AB">
        <w:rPr>
          <w:rFonts w:ascii="Arial" w:hAnsi="Arial" w:cs="Arial"/>
          <w:sz w:val="22"/>
          <w:szCs w:val="22"/>
        </w:rPr>
        <w:t>‘CHP and Air Quality Guidance for Local Authorities’ project in June 2011</w:t>
      </w:r>
      <w:r>
        <w:rPr>
          <w:rFonts w:ascii="Arial" w:hAnsi="Arial" w:cs="Arial"/>
          <w:sz w:val="22"/>
          <w:szCs w:val="22"/>
        </w:rPr>
        <w:t>. It</w:t>
      </w:r>
      <w:r w:rsidRPr="006D52AB">
        <w:rPr>
          <w:rFonts w:ascii="Arial" w:hAnsi="Arial" w:cs="Arial"/>
          <w:sz w:val="22"/>
          <w:szCs w:val="22"/>
        </w:rPr>
        <w:t xml:space="preserve"> was adapted from an original </w:t>
      </w:r>
      <w:r>
        <w:rPr>
          <w:rFonts w:ascii="Arial" w:hAnsi="Arial" w:cs="Arial"/>
          <w:sz w:val="22"/>
          <w:szCs w:val="22"/>
        </w:rPr>
        <w:t>procedure</w:t>
      </w:r>
      <w:r w:rsidRPr="006D52AB">
        <w:rPr>
          <w:rFonts w:ascii="Arial" w:hAnsi="Arial" w:cs="Arial"/>
          <w:sz w:val="22"/>
          <w:szCs w:val="22"/>
        </w:rPr>
        <w:t xml:space="preserve"> developed </w:t>
      </w:r>
      <w:r>
        <w:rPr>
          <w:rFonts w:ascii="Arial" w:hAnsi="Arial" w:cs="Arial"/>
          <w:sz w:val="22"/>
          <w:szCs w:val="22"/>
        </w:rPr>
        <w:t xml:space="preserve">by the London Borough of Camden, which has been verified by Bureau </w:t>
      </w:r>
      <w:proofErr w:type="spellStart"/>
      <w:r>
        <w:rPr>
          <w:rFonts w:ascii="Arial" w:hAnsi="Arial" w:cs="Arial"/>
          <w:sz w:val="22"/>
          <w:szCs w:val="22"/>
        </w:rPr>
        <w:t>Veritas</w:t>
      </w:r>
      <w:proofErr w:type="spellEnd"/>
      <w:r>
        <w:rPr>
          <w:rFonts w:ascii="Arial" w:hAnsi="Arial" w:cs="Arial"/>
          <w:sz w:val="22"/>
          <w:szCs w:val="22"/>
        </w:rPr>
        <w:t xml:space="preserve">. </w:t>
      </w:r>
    </w:p>
    <w:p w:rsidR="006D52AB" w:rsidRPr="006D52AB" w:rsidRDefault="006D52AB" w:rsidP="007D457F">
      <w:pPr>
        <w:spacing w:after="0"/>
        <w:ind w:left="283"/>
        <w:rPr>
          <w:rFonts w:ascii="Arial" w:hAnsi="Arial" w:cs="Arial"/>
          <w:sz w:val="22"/>
          <w:szCs w:val="22"/>
        </w:rPr>
      </w:pPr>
    </w:p>
    <w:p w:rsidR="006D52AB" w:rsidRPr="006D52AB" w:rsidRDefault="006D52AB" w:rsidP="007D457F">
      <w:pPr>
        <w:spacing w:after="0"/>
        <w:ind w:left="0"/>
        <w:rPr>
          <w:rFonts w:ascii="Arial" w:hAnsi="Arial" w:cs="Arial"/>
          <w:sz w:val="22"/>
          <w:szCs w:val="22"/>
        </w:rPr>
      </w:pPr>
      <w:r w:rsidRPr="006D52AB">
        <w:rPr>
          <w:rFonts w:ascii="Arial" w:hAnsi="Arial" w:cs="Arial"/>
          <w:sz w:val="22"/>
          <w:szCs w:val="22"/>
        </w:rPr>
        <w:t xml:space="preserve">Further guidance documents and tools are available to download from </w:t>
      </w:r>
      <w:hyperlink r:id="rId12" w:history="1">
        <w:r w:rsidRPr="006D52AB">
          <w:rPr>
            <w:rStyle w:val="Hyperlink"/>
            <w:rFonts w:ascii="Arial" w:hAnsi="Arial" w:cs="Arial"/>
            <w:sz w:val="22"/>
            <w:szCs w:val="22"/>
          </w:rPr>
          <w:t>www.environmental-protection.org.uk/CHP</w:t>
        </w:r>
      </w:hyperlink>
      <w:r w:rsidRPr="006D52AB">
        <w:rPr>
          <w:rFonts w:ascii="Arial" w:hAnsi="Arial" w:cs="Arial"/>
          <w:sz w:val="22"/>
          <w:szCs w:val="22"/>
        </w:rPr>
        <w:t xml:space="preserve">  or contact Environmental Protection UK, 44 Grand Parade, Bright</w:t>
      </w:r>
      <w:r>
        <w:rPr>
          <w:rFonts w:ascii="Arial" w:hAnsi="Arial" w:cs="Arial"/>
          <w:sz w:val="22"/>
          <w:szCs w:val="22"/>
        </w:rPr>
        <w:t>on BN2 9QA.</w:t>
      </w:r>
    </w:p>
    <w:p w:rsidR="006D52AB" w:rsidRDefault="006D52AB" w:rsidP="007D457F">
      <w:pPr>
        <w:spacing w:after="0"/>
        <w:ind w:left="0"/>
      </w:pPr>
    </w:p>
    <w:sectPr w:rsidR="006D52AB" w:rsidSect="003B3AF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A09" w:rsidRDefault="00BE0A09">
      <w:r>
        <w:separator/>
      </w:r>
    </w:p>
  </w:endnote>
  <w:endnote w:type="continuationSeparator" w:id="0">
    <w:p w:rsidR="00BE0A09" w:rsidRDefault="00BE0A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2" w:rsidRDefault="00671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2" w:rsidRDefault="00671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2" w:rsidRDefault="00671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A09" w:rsidRDefault="00BE0A09">
      <w:r>
        <w:separator/>
      </w:r>
    </w:p>
  </w:footnote>
  <w:footnote w:type="continuationSeparator" w:id="0">
    <w:p w:rsidR="00BE0A09" w:rsidRDefault="00BE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2" w:rsidRDefault="00671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2AB" w:rsidRDefault="006D52AB">
    <w:pPr>
      <w:pStyle w:val="Header"/>
    </w:pPr>
    <w:r w:rsidRPr="006D52AB">
      <w:t>Template Air Quality Assessment Procedure For Gas-Fired Combined Heat and Power (CHP) Plant</w:t>
    </w:r>
    <w:r>
      <w:t xml:space="preserve">. Developed as part of the </w:t>
    </w:r>
    <w:r w:rsidRPr="006D52AB">
      <w:t>Environmental Protection UK ‘CHP and Air Quality Guidance for Local Authorities’</w:t>
    </w: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812" w:rsidRDefault="006718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0BB"/>
    <w:multiLevelType w:val="hybridMultilevel"/>
    <w:tmpl w:val="D0049FB0"/>
    <w:lvl w:ilvl="0" w:tplc="08090001">
      <w:start w:val="1"/>
      <w:numFmt w:val="bullet"/>
      <w:lvlText w:val=""/>
      <w:lvlJc w:val="left"/>
      <w:pPr>
        <w:ind w:left="1287" w:hanging="360"/>
      </w:pPr>
      <w:rPr>
        <w:rFonts w:ascii="Symbol" w:hAnsi="Symbol"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Times New Roman" w:hint="default"/>
      </w:rPr>
    </w:lvl>
    <w:lvl w:ilvl="3" w:tplc="08090001">
      <w:start w:val="1"/>
      <w:numFmt w:val="bullet"/>
      <w:lvlText w:val=""/>
      <w:lvlJc w:val="left"/>
      <w:pPr>
        <w:ind w:left="3447" w:hanging="360"/>
      </w:pPr>
      <w:rPr>
        <w:rFonts w:ascii="Symbol" w:hAnsi="Symbol" w:cs="Times New Roman"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Times New Roman" w:hint="default"/>
      </w:rPr>
    </w:lvl>
    <w:lvl w:ilvl="6" w:tplc="08090001">
      <w:start w:val="1"/>
      <w:numFmt w:val="bullet"/>
      <w:lvlText w:val=""/>
      <w:lvlJc w:val="left"/>
      <w:pPr>
        <w:ind w:left="5607" w:hanging="360"/>
      </w:pPr>
      <w:rPr>
        <w:rFonts w:ascii="Symbol" w:hAnsi="Symbol" w:cs="Times New Roman"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Times New Roman" w:hint="default"/>
      </w:rPr>
    </w:lvl>
  </w:abstractNum>
  <w:abstractNum w:abstractNumId="1">
    <w:nsid w:val="36121BFD"/>
    <w:multiLevelType w:val="hybridMultilevel"/>
    <w:tmpl w:val="B8FC5000"/>
    <w:lvl w:ilvl="0" w:tplc="08090001">
      <w:start w:val="1"/>
      <w:numFmt w:val="bullet"/>
      <w:lvlText w:val=""/>
      <w:lvlJc w:val="left"/>
      <w:pPr>
        <w:ind w:left="1287" w:hanging="360"/>
      </w:pPr>
      <w:rPr>
        <w:rFonts w:ascii="Symbol" w:hAnsi="Symbol"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Times New Roman" w:hint="default"/>
      </w:rPr>
    </w:lvl>
    <w:lvl w:ilvl="3" w:tplc="08090001">
      <w:start w:val="1"/>
      <w:numFmt w:val="bullet"/>
      <w:lvlText w:val=""/>
      <w:lvlJc w:val="left"/>
      <w:pPr>
        <w:ind w:left="3447" w:hanging="360"/>
      </w:pPr>
      <w:rPr>
        <w:rFonts w:ascii="Symbol" w:hAnsi="Symbol" w:cs="Times New Roman"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Times New Roman" w:hint="default"/>
      </w:rPr>
    </w:lvl>
    <w:lvl w:ilvl="6" w:tplc="08090001">
      <w:start w:val="1"/>
      <w:numFmt w:val="bullet"/>
      <w:lvlText w:val=""/>
      <w:lvlJc w:val="left"/>
      <w:pPr>
        <w:ind w:left="5607" w:hanging="360"/>
      </w:pPr>
      <w:rPr>
        <w:rFonts w:ascii="Symbol" w:hAnsi="Symbol" w:cs="Times New Roman"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Times New Roman" w:hint="default"/>
      </w:rPr>
    </w:lvl>
  </w:abstractNum>
  <w:abstractNum w:abstractNumId="2">
    <w:nsid w:val="406B1069"/>
    <w:multiLevelType w:val="hybridMultilevel"/>
    <w:tmpl w:val="78060F9E"/>
    <w:lvl w:ilvl="0" w:tplc="04090001">
      <w:start w:val="1"/>
      <w:numFmt w:val="bullet"/>
      <w:lvlText w:val=""/>
      <w:lvlJc w:val="left"/>
      <w:pPr>
        <w:tabs>
          <w:tab w:val="num" w:pos="2007"/>
        </w:tabs>
        <w:ind w:left="2007" w:hanging="360"/>
      </w:pPr>
      <w:rPr>
        <w:rFonts w:ascii="Symbol" w:hAnsi="Symbol" w:cs="Times New Roman" w:hint="default"/>
      </w:rPr>
    </w:lvl>
    <w:lvl w:ilvl="1" w:tplc="04090003">
      <w:start w:val="1"/>
      <w:numFmt w:val="bullet"/>
      <w:lvlText w:val="o"/>
      <w:lvlJc w:val="left"/>
      <w:pPr>
        <w:tabs>
          <w:tab w:val="num" w:pos="2727"/>
        </w:tabs>
        <w:ind w:left="2727" w:hanging="360"/>
      </w:pPr>
      <w:rPr>
        <w:rFonts w:ascii="Courier New" w:hAnsi="Courier New" w:cs="Courier New" w:hint="default"/>
      </w:rPr>
    </w:lvl>
    <w:lvl w:ilvl="2" w:tplc="04090005">
      <w:start w:val="1"/>
      <w:numFmt w:val="bullet"/>
      <w:lvlText w:val=""/>
      <w:lvlJc w:val="left"/>
      <w:pPr>
        <w:tabs>
          <w:tab w:val="num" w:pos="3447"/>
        </w:tabs>
        <w:ind w:left="3447" w:hanging="360"/>
      </w:pPr>
      <w:rPr>
        <w:rFonts w:ascii="Wingdings" w:hAnsi="Wingdings" w:cs="Times New Roman" w:hint="default"/>
      </w:rPr>
    </w:lvl>
    <w:lvl w:ilvl="3" w:tplc="04090001">
      <w:start w:val="1"/>
      <w:numFmt w:val="bullet"/>
      <w:lvlText w:val=""/>
      <w:lvlJc w:val="left"/>
      <w:pPr>
        <w:tabs>
          <w:tab w:val="num" w:pos="4167"/>
        </w:tabs>
        <w:ind w:left="4167" w:hanging="360"/>
      </w:pPr>
      <w:rPr>
        <w:rFonts w:ascii="Symbol" w:hAnsi="Symbol" w:cs="Times New Roman" w:hint="default"/>
      </w:rPr>
    </w:lvl>
    <w:lvl w:ilvl="4" w:tplc="04090003">
      <w:start w:val="1"/>
      <w:numFmt w:val="bullet"/>
      <w:lvlText w:val="o"/>
      <w:lvlJc w:val="left"/>
      <w:pPr>
        <w:tabs>
          <w:tab w:val="num" w:pos="4887"/>
        </w:tabs>
        <w:ind w:left="4887" w:hanging="360"/>
      </w:pPr>
      <w:rPr>
        <w:rFonts w:ascii="Courier New" w:hAnsi="Courier New" w:cs="Courier New" w:hint="default"/>
      </w:rPr>
    </w:lvl>
    <w:lvl w:ilvl="5" w:tplc="04090005">
      <w:start w:val="1"/>
      <w:numFmt w:val="bullet"/>
      <w:lvlText w:val=""/>
      <w:lvlJc w:val="left"/>
      <w:pPr>
        <w:tabs>
          <w:tab w:val="num" w:pos="5607"/>
        </w:tabs>
        <w:ind w:left="5607" w:hanging="360"/>
      </w:pPr>
      <w:rPr>
        <w:rFonts w:ascii="Wingdings" w:hAnsi="Wingdings" w:cs="Times New Roman" w:hint="default"/>
      </w:rPr>
    </w:lvl>
    <w:lvl w:ilvl="6" w:tplc="04090001">
      <w:start w:val="1"/>
      <w:numFmt w:val="bullet"/>
      <w:lvlText w:val=""/>
      <w:lvlJc w:val="left"/>
      <w:pPr>
        <w:tabs>
          <w:tab w:val="num" w:pos="6327"/>
        </w:tabs>
        <w:ind w:left="6327" w:hanging="360"/>
      </w:pPr>
      <w:rPr>
        <w:rFonts w:ascii="Symbol" w:hAnsi="Symbol" w:cs="Times New Roman" w:hint="default"/>
      </w:rPr>
    </w:lvl>
    <w:lvl w:ilvl="7" w:tplc="04090003">
      <w:start w:val="1"/>
      <w:numFmt w:val="bullet"/>
      <w:lvlText w:val="o"/>
      <w:lvlJc w:val="left"/>
      <w:pPr>
        <w:tabs>
          <w:tab w:val="num" w:pos="7047"/>
        </w:tabs>
        <w:ind w:left="7047" w:hanging="360"/>
      </w:pPr>
      <w:rPr>
        <w:rFonts w:ascii="Courier New" w:hAnsi="Courier New" w:cs="Courier New" w:hint="default"/>
      </w:rPr>
    </w:lvl>
    <w:lvl w:ilvl="8" w:tplc="04090005">
      <w:start w:val="1"/>
      <w:numFmt w:val="bullet"/>
      <w:lvlText w:val=""/>
      <w:lvlJc w:val="left"/>
      <w:pPr>
        <w:tabs>
          <w:tab w:val="num" w:pos="7767"/>
        </w:tabs>
        <w:ind w:left="7767" w:hanging="360"/>
      </w:pPr>
      <w:rPr>
        <w:rFonts w:ascii="Wingdings" w:hAnsi="Wingdings" w:cs="Times New Roman" w:hint="default"/>
      </w:rPr>
    </w:lvl>
  </w:abstractNum>
  <w:abstractNum w:abstractNumId="3">
    <w:nsid w:val="4994745A"/>
    <w:multiLevelType w:val="hybridMultilevel"/>
    <w:tmpl w:val="C6E002D4"/>
    <w:lvl w:ilvl="0" w:tplc="08090001">
      <w:start w:val="1"/>
      <w:numFmt w:val="bullet"/>
      <w:lvlText w:val=""/>
      <w:lvlJc w:val="left"/>
      <w:pPr>
        <w:ind w:left="1287" w:hanging="360"/>
      </w:pPr>
      <w:rPr>
        <w:rFonts w:ascii="Symbol" w:hAnsi="Symbol"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cs="Times New Roman" w:hint="default"/>
      </w:rPr>
    </w:lvl>
    <w:lvl w:ilvl="3" w:tplc="08090001">
      <w:start w:val="1"/>
      <w:numFmt w:val="bullet"/>
      <w:lvlText w:val=""/>
      <w:lvlJc w:val="left"/>
      <w:pPr>
        <w:ind w:left="3447" w:hanging="360"/>
      </w:pPr>
      <w:rPr>
        <w:rFonts w:ascii="Symbol" w:hAnsi="Symbol" w:cs="Times New Roman"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cs="Times New Roman" w:hint="default"/>
      </w:rPr>
    </w:lvl>
    <w:lvl w:ilvl="6" w:tplc="08090001">
      <w:start w:val="1"/>
      <w:numFmt w:val="bullet"/>
      <w:lvlText w:val=""/>
      <w:lvlJc w:val="left"/>
      <w:pPr>
        <w:ind w:left="5607" w:hanging="360"/>
      </w:pPr>
      <w:rPr>
        <w:rFonts w:ascii="Symbol" w:hAnsi="Symbol" w:cs="Times New Roman"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cs="Times New Roman" w:hint="default"/>
      </w:rPr>
    </w:lvl>
  </w:abstractNum>
  <w:abstractNum w:abstractNumId="4">
    <w:nsid w:val="735A055F"/>
    <w:multiLevelType w:val="multilevel"/>
    <w:tmpl w:val="E79E4174"/>
    <w:lvl w:ilvl="0">
      <w:start w:val="1"/>
      <w:numFmt w:val="decimal"/>
      <w:pStyle w:val="Heading1"/>
      <w:lvlText w:val="%1"/>
      <w:lvlJc w:val="left"/>
      <w:pPr>
        <w:tabs>
          <w:tab w:val="num" w:pos="1152"/>
        </w:tabs>
        <w:ind w:left="1152" w:hanging="432"/>
      </w:pPr>
      <w:rPr>
        <w:rFonts w:ascii="Times New Roman" w:hAnsi="Times New Roman" w:cs="Times New Roman" w:hint="default"/>
      </w:rPr>
    </w:lvl>
    <w:lvl w:ilvl="1">
      <w:start w:val="1"/>
      <w:numFmt w:val="decimal"/>
      <w:pStyle w:val="Heading2"/>
      <w:lvlText w:val="%1.%2"/>
      <w:lvlJc w:val="left"/>
      <w:pPr>
        <w:tabs>
          <w:tab w:val="num" w:pos="1002"/>
        </w:tabs>
        <w:ind w:left="1002" w:hanging="576"/>
      </w:pPr>
      <w:rPr>
        <w:rFonts w:ascii="Times New Roman" w:hAnsi="Times New Roman" w:cs="Times New Roman" w:hint="default"/>
      </w:rPr>
    </w:lvl>
    <w:lvl w:ilvl="2">
      <w:start w:val="1"/>
      <w:numFmt w:val="decimal"/>
      <w:pStyle w:val="Heading3"/>
      <w:isLg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584"/>
        </w:tabs>
        <w:ind w:left="1584" w:hanging="864"/>
      </w:pPr>
      <w:rPr>
        <w:rFonts w:ascii="Times New Roman" w:hAnsi="Times New Roman" w:cs="Times New Roman" w:hint="default"/>
      </w:rPr>
    </w:lvl>
    <w:lvl w:ilvl="4">
      <w:start w:val="1"/>
      <w:numFmt w:val="decimal"/>
      <w:lvlText w:val="%1.%2.%3.%4.%5"/>
      <w:lvlJc w:val="left"/>
      <w:pPr>
        <w:tabs>
          <w:tab w:val="num" w:pos="1728"/>
        </w:tabs>
        <w:ind w:left="1728" w:hanging="1008"/>
      </w:pPr>
      <w:rPr>
        <w:rFonts w:ascii="Times New Roman" w:hAnsi="Times New Roman" w:cs="Times New Roman" w:hint="default"/>
      </w:rPr>
    </w:lvl>
    <w:lvl w:ilvl="5">
      <w:start w:val="1"/>
      <w:numFmt w:val="decimal"/>
      <w:lvlText w:val="%1.%2.%3.%4.%5.%6"/>
      <w:lvlJc w:val="left"/>
      <w:pPr>
        <w:tabs>
          <w:tab w:val="num" w:pos="1872"/>
        </w:tabs>
        <w:ind w:left="1872" w:hanging="1152"/>
      </w:pPr>
      <w:rPr>
        <w:rFonts w:ascii="Times New Roman" w:hAnsi="Times New Roman" w:cs="Times New Roman" w:hint="default"/>
      </w:rPr>
    </w:lvl>
    <w:lvl w:ilvl="6">
      <w:start w:val="1"/>
      <w:numFmt w:val="decimal"/>
      <w:lvlText w:val="%1.%2.%3.%4.%5.%6.%7"/>
      <w:lvlJc w:val="left"/>
      <w:pPr>
        <w:tabs>
          <w:tab w:val="num" w:pos="2016"/>
        </w:tabs>
        <w:ind w:left="2016" w:hanging="1296"/>
      </w:pPr>
      <w:rPr>
        <w:rFonts w:ascii="Times New Roman" w:hAnsi="Times New Roman" w:cs="Times New Roman" w:hint="default"/>
      </w:rPr>
    </w:lvl>
    <w:lvl w:ilvl="7">
      <w:start w:val="1"/>
      <w:numFmt w:val="decimal"/>
      <w:lvlText w:val="%1.%2.%3.%4.%5.%6.%7.%8"/>
      <w:lvlJc w:val="left"/>
      <w:pPr>
        <w:tabs>
          <w:tab w:val="num" w:pos="2160"/>
        </w:tabs>
        <w:ind w:left="2160" w:hanging="1440"/>
      </w:pPr>
      <w:rPr>
        <w:rFonts w:ascii="Times New Roman" w:hAnsi="Times New Roman" w:cs="Times New Roman" w:hint="default"/>
      </w:rPr>
    </w:lvl>
    <w:lvl w:ilvl="8">
      <w:start w:val="1"/>
      <w:numFmt w:val="decimal"/>
      <w:lvlText w:val="%1.%2.%3.%4.%5.%6.%7.%8.%9"/>
      <w:lvlJc w:val="left"/>
      <w:pPr>
        <w:tabs>
          <w:tab w:val="num" w:pos="2304"/>
        </w:tabs>
        <w:ind w:left="2304" w:hanging="1584"/>
      </w:pPr>
      <w:rPr>
        <w:rFonts w:ascii="Times New Roman" w:hAnsi="Times New Roman" w:cs="Times New Roman"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oNotHyphenateCaps/>
  <w:characterSpacingControl w:val="doNotCompress"/>
  <w:hdrShapeDefaults>
    <o:shapedefaults v:ext="edit" spidmax="6146"/>
  </w:hdrShapeDefaults>
  <w:footnotePr>
    <w:footnote w:id="-1"/>
    <w:footnote w:id="0"/>
  </w:footnotePr>
  <w:endnotePr>
    <w:endnote w:id="-1"/>
    <w:endnote w:id="0"/>
  </w:endnotePr>
  <w:compat/>
  <w:rsids>
    <w:rsidRoot w:val="00472486"/>
    <w:rsid w:val="00061F88"/>
    <w:rsid w:val="00177F33"/>
    <w:rsid w:val="00197704"/>
    <w:rsid w:val="002D0097"/>
    <w:rsid w:val="002E4CD4"/>
    <w:rsid w:val="00337573"/>
    <w:rsid w:val="00344805"/>
    <w:rsid w:val="003B3AF6"/>
    <w:rsid w:val="004555C0"/>
    <w:rsid w:val="00463C53"/>
    <w:rsid w:val="00472486"/>
    <w:rsid w:val="004A6EB8"/>
    <w:rsid w:val="0052213B"/>
    <w:rsid w:val="00571B34"/>
    <w:rsid w:val="00671812"/>
    <w:rsid w:val="00676344"/>
    <w:rsid w:val="0068587F"/>
    <w:rsid w:val="006D52AB"/>
    <w:rsid w:val="006E7334"/>
    <w:rsid w:val="007D457F"/>
    <w:rsid w:val="007F63F9"/>
    <w:rsid w:val="00807DF5"/>
    <w:rsid w:val="00846199"/>
    <w:rsid w:val="00917351"/>
    <w:rsid w:val="00981B7A"/>
    <w:rsid w:val="00A14ECC"/>
    <w:rsid w:val="00A6095A"/>
    <w:rsid w:val="00AF2353"/>
    <w:rsid w:val="00B0191D"/>
    <w:rsid w:val="00B13270"/>
    <w:rsid w:val="00B966DC"/>
    <w:rsid w:val="00BE0A09"/>
    <w:rsid w:val="00BE449B"/>
    <w:rsid w:val="00D20F82"/>
    <w:rsid w:val="00D8254F"/>
    <w:rsid w:val="00DB4E54"/>
    <w:rsid w:val="00F0063C"/>
    <w:rsid w:val="00F57B38"/>
    <w:rsid w:val="00F66B67"/>
    <w:rsid w:val="00FE67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AF6"/>
    <w:pPr>
      <w:spacing w:after="120"/>
      <w:ind w:left="567"/>
      <w:jc w:val="both"/>
    </w:pPr>
    <w:rPr>
      <w:rFonts w:ascii="Garamond" w:hAnsi="Garamond"/>
      <w:sz w:val="24"/>
      <w:lang w:eastAsia="en-US"/>
    </w:rPr>
  </w:style>
  <w:style w:type="paragraph" w:styleId="Heading1">
    <w:name w:val="heading 1"/>
    <w:aliases w:val="Top Level"/>
    <w:basedOn w:val="Normal"/>
    <w:next w:val="Heading2"/>
    <w:qFormat/>
    <w:rsid w:val="003B3AF6"/>
    <w:pPr>
      <w:keepNext/>
      <w:numPr>
        <w:numId w:val="2"/>
      </w:numPr>
      <w:spacing w:before="360"/>
      <w:ind w:hanging="567"/>
      <w:outlineLvl w:val="0"/>
    </w:pPr>
    <w:rPr>
      <w:b/>
      <w:caps/>
      <w:kern w:val="28"/>
    </w:rPr>
  </w:style>
  <w:style w:type="paragraph" w:styleId="Heading2">
    <w:name w:val="heading 2"/>
    <w:aliases w:val="Second Level"/>
    <w:basedOn w:val="Heading1"/>
    <w:next w:val="Heading3"/>
    <w:qFormat/>
    <w:rsid w:val="003B3AF6"/>
    <w:pPr>
      <w:numPr>
        <w:ilvl w:val="1"/>
      </w:numPr>
      <w:spacing w:before="240"/>
      <w:outlineLvl w:val="1"/>
    </w:pPr>
    <w:rPr>
      <w:caps w:val="0"/>
      <w:kern w:val="24"/>
    </w:rPr>
  </w:style>
  <w:style w:type="paragraph" w:styleId="Heading3">
    <w:name w:val="heading 3"/>
    <w:aliases w:val="Main text"/>
    <w:basedOn w:val="Heading2"/>
    <w:qFormat/>
    <w:rsid w:val="003B3AF6"/>
    <w:pPr>
      <w:keepNext w:val="0"/>
      <w:numPr>
        <w:ilvl w:val="2"/>
      </w:numPr>
      <w:spacing w:before="60" w:after="60" w:line="300" w:lineRule="auto"/>
      <w:ind w:hanging="873"/>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3AF6"/>
    <w:pPr>
      <w:tabs>
        <w:tab w:val="center" w:pos="4536"/>
        <w:tab w:val="right" w:pos="9072"/>
      </w:tabs>
      <w:spacing w:after="0"/>
      <w:ind w:left="0"/>
    </w:pPr>
    <w:rPr>
      <w:sz w:val="20"/>
    </w:rPr>
  </w:style>
  <w:style w:type="character" w:customStyle="1" w:styleId="HeaderChar">
    <w:name w:val="Header Char"/>
    <w:basedOn w:val="DefaultParagraphFont"/>
    <w:rsid w:val="003B3AF6"/>
    <w:rPr>
      <w:rFonts w:ascii="Garamond" w:hAnsi="Garamond" w:cs="Times New Roman"/>
      <w:sz w:val="20"/>
      <w:szCs w:val="20"/>
    </w:rPr>
  </w:style>
  <w:style w:type="paragraph" w:customStyle="1" w:styleId="xl34">
    <w:name w:val="xl34"/>
    <w:basedOn w:val="Normal"/>
    <w:rsid w:val="003B3AF6"/>
    <w:pPr>
      <w:pBdr>
        <w:left w:val="single" w:sz="8" w:space="0" w:color="auto"/>
      </w:pBdr>
      <w:spacing w:before="100" w:beforeAutospacing="1" w:after="100" w:afterAutospacing="1"/>
      <w:ind w:left="0"/>
      <w:jc w:val="center"/>
    </w:pPr>
    <w:rPr>
      <w:rFonts w:ascii="Arial Unicode MS" w:eastAsia="Arial Unicode MS" w:hAnsi="Arial Unicode MS" w:cs="Arial Unicode MS"/>
      <w:szCs w:val="24"/>
    </w:rPr>
  </w:style>
  <w:style w:type="character" w:customStyle="1" w:styleId="Heading1Char">
    <w:name w:val="Heading 1 Char"/>
    <w:aliases w:val="Top Level Char"/>
    <w:basedOn w:val="DefaultParagraphFont"/>
    <w:rsid w:val="003B3AF6"/>
    <w:rPr>
      <w:rFonts w:ascii="Garamond" w:hAnsi="Garamond" w:cs="Times New Roman"/>
      <w:b/>
      <w:caps/>
      <w:kern w:val="28"/>
      <w:sz w:val="20"/>
      <w:szCs w:val="20"/>
    </w:rPr>
  </w:style>
  <w:style w:type="character" w:customStyle="1" w:styleId="Heading2Char">
    <w:name w:val="Heading 2 Char"/>
    <w:aliases w:val="Second Level Char"/>
    <w:basedOn w:val="DefaultParagraphFont"/>
    <w:rsid w:val="003B3AF6"/>
    <w:rPr>
      <w:rFonts w:ascii="Garamond" w:hAnsi="Garamond" w:cs="Times New Roman"/>
      <w:b/>
      <w:kern w:val="24"/>
      <w:sz w:val="20"/>
      <w:szCs w:val="20"/>
    </w:rPr>
  </w:style>
  <w:style w:type="character" w:customStyle="1" w:styleId="Heading3Char">
    <w:name w:val="Heading 3 Char"/>
    <w:aliases w:val="Main text Char"/>
    <w:basedOn w:val="DefaultParagraphFont"/>
    <w:rsid w:val="003B3AF6"/>
    <w:rPr>
      <w:rFonts w:ascii="Garamond" w:hAnsi="Garamond" w:cs="Times New Roman"/>
      <w:b/>
      <w:bCs/>
      <w:kern w:val="24"/>
      <w:sz w:val="20"/>
      <w:szCs w:val="20"/>
    </w:rPr>
  </w:style>
  <w:style w:type="paragraph" w:styleId="DocumentMap">
    <w:name w:val="Document Map"/>
    <w:basedOn w:val="Normal"/>
    <w:semiHidden/>
    <w:rsid w:val="003B3AF6"/>
    <w:pPr>
      <w:spacing w:after="0"/>
    </w:pPr>
    <w:rPr>
      <w:rFonts w:ascii="Tahoma" w:hAnsi="Tahoma" w:cs="Tahoma"/>
      <w:sz w:val="16"/>
      <w:szCs w:val="16"/>
    </w:rPr>
  </w:style>
  <w:style w:type="character" w:customStyle="1" w:styleId="DocumentMapChar">
    <w:name w:val="Document Map Char"/>
    <w:basedOn w:val="DefaultParagraphFont"/>
    <w:rsid w:val="003B3AF6"/>
    <w:rPr>
      <w:rFonts w:ascii="Tahoma" w:hAnsi="Tahoma" w:cs="Tahoma"/>
      <w:sz w:val="16"/>
      <w:szCs w:val="16"/>
    </w:rPr>
  </w:style>
  <w:style w:type="paragraph" w:styleId="ListParagraph">
    <w:name w:val="List Paragraph"/>
    <w:basedOn w:val="Normal"/>
    <w:qFormat/>
    <w:rsid w:val="003B3AF6"/>
    <w:pPr>
      <w:ind w:left="720"/>
    </w:pPr>
  </w:style>
  <w:style w:type="paragraph" w:styleId="BalloonText">
    <w:name w:val="Balloon Text"/>
    <w:basedOn w:val="Normal"/>
    <w:rsid w:val="003B3AF6"/>
    <w:pPr>
      <w:spacing w:after="0"/>
    </w:pPr>
    <w:rPr>
      <w:rFonts w:ascii="Tahoma" w:hAnsi="Tahoma" w:cs="Tahoma"/>
      <w:sz w:val="16"/>
      <w:szCs w:val="16"/>
    </w:rPr>
  </w:style>
  <w:style w:type="character" w:customStyle="1" w:styleId="BalloonTextChar">
    <w:name w:val="Balloon Text Char"/>
    <w:basedOn w:val="DefaultParagraphFont"/>
    <w:rsid w:val="003B3AF6"/>
    <w:rPr>
      <w:rFonts w:ascii="Tahoma" w:hAnsi="Tahoma" w:cs="Tahoma"/>
      <w:sz w:val="16"/>
      <w:szCs w:val="16"/>
    </w:rPr>
  </w:style>
  <w:style w:type="paragraph" w:styleId="BodyTextIndent">
    <w:name w:val="Body Text Indent"/>
    <w:basedOn w:val="Normal"/>
    <w:rsid w:val="003B3AF6"/>
    <w:rPr>
      <w:rFonts w:ascii="Arial" w:hAnsi="Arial" w:cs="Arial"/>
    </w:rPr>
  </w:style>
  <w:style w:type="paragraph" w:styleId="Footer">
    <w:name w:val="footer"/>
    <w:basedOn w:val="Normal"/>
    <w:rsid w:val="00D8254F"/>
    <w:pPr>
      <w:tabs>
        <w:tab w:val="center" w:pos="4153"/>
        <w:tab w:val="right" w:pos="8306"/>
      </w:tabs>
    </w:pPr>
  </w:style>
  <w:style w:type="character" w:styleId="Hyperlink">
    <w:name w:val="Hyperlink"/>
    <w:basedOn w:val="DefaultParagraphFont"/>
    <w:rsid w:val="006D52AB"/>
    <w:rPr>
      <w:color w:val="0000FF"/>
      <w:u w:val="single"/>
    </w:rPr>
  </w:style>
  <w:style w:type="character" w:styleId="FollowedHyperlink">
    <w:name w:val="FollowedHyperlink"/>
    <w:basedOn w:val="DefaultParagraphFont"/>
    <w:rsid w:val="004A6EB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scram001/dispersion_prefrec.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erc.co.uk/environmental-software/ADMS-model.html" TargetMode="External"/><Relationship Id="rId12" Type="http://schemas.openxmlformats.org/officeDocument/2006/relationships/hyperlink" Target="http://www.environmental-protection.org.uk/CHP"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defra.gov.uk/environment/quality/air/airquality/local/guidance/documents/tech-guidance-laqm-tg-0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qm.defra.gov.uk/review-and-assessment/tools/background-map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rc.co.uk/environmental-software/ADMS-Roads-model.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5166</Characters>
  <Application>Microsoft Office Word</Application>
  <DocSecurity>0</DocSecurity>
  <Lines>43</Lines>
  <Paragraphs>12</Paragraphs>
  <ScaleCrop>false</ScaleCrop>
  <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2012-01-25T16:22:00Z</dcterms:created>
  <dcterms:modified xsi:type="dcterms:W3CDTF">2012-01-25T16:22:00Z</dcterms:modified>
</cp:coreProperties>
</file>